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8537" w14:textId="77777777" w:rsidR="009E5A47" w:rsidRDefault="009E5A47">
      <w:pPr>
        <w:rPr>
          <w:rFonts w:ascii="Calibri" w:hAnsi="Calibri" w:cs="Calibri"/>
          <w:color w:val="000000" w:themeColor="text1"/>
          <w:sz w:val="22"/>
          <w:szCs w:val="22"/>
        </w:rPr>
      </w:pPr>
    </w:p>
    <w:p w14:paraId="6BE14217" w14:textId="0F076478" w:rsidR="0076032F" w:rsidRDefault="00234798" w:rsidP="00234798">
      <w:pPr>
        <w:jc w:val="center"/>
        <w:rPr>
          <w:rFonts w:ascii="Calibri" w:eastAsia="Times New Roman" w:hAnsi="Calibri" w:cs="Calibri"/>
          <w:b/>
          <w:bCs/>
          <w:color w:val="000000"/>
          <w:sz w:val="22"/>
          <w:szCs w:val="22"/>
          <w:lang w:eastAsia="en-GB"/>
        </w:rPr>
      </w:pPr>
      <w:proofErr w:type="spellStart"/>
      <w:r w:rsidRPr="00234798">
        <w:rPr>
          <w:rFonts w:ascii="Calibri" w:eastAsia="Times New Roman" w:hAnsi="Calibri" w:cs="Calibri"/>
          <w:b/>
          <w:bCs/>
          <w:color w:val="000000"/>
          <w:sz w:val="22"/>
          <w:szCs w:val="22"/>
          <w:lang w:eastAsia="en-GB"/>
        </w:rPr>
        <w:t>Novotech</w:t>
      </w:r>
      <w:proofErr w:type="spellEnd"/>
      <w:r w:rsidR="00A76F2C">
        <w:rPr>
          <w:rFonts w:ascii="Calibri" w:eastAsia="Times New Roman" w:hAnsi="Calibri" w:cs="Calibri"/>
          <w:b/>
          <w:bCs/>
          <w:color w:val="000000"/>
          <w:sz w:val="22"/>
          <w:szCs w:val="22"/>
          <w:lang w:eastAsia="en-GB"/>
        </w:rPr>
        <w:t xml:space="preserve"> </w:t>
      </w:r>
      <w:r w:rsidRPr="00234798">
        <w:rPr>
          <w:rFonts w:ascii="Calibri" w:eastAsia="Times New Roman" w:hAnsi="Calibri" w:cs="Calibri"/>
          <w:b/>
          <w:bCs/>
          <w:color w:val="000000"/>
          <w:sz w:val="22"/>
          <w:szCs w:val="22"/>
          <w:lang w:eastAsia="en-GB"/>
        </w:rPr>
        <w:t xml:space="preserve">and PPC </w:t>
      </w:r>
      <w:r w:rsidR="00E90B80">
        <w:rPr>
          <w:rFonts w:ascii="Calibri" w:eastAsia="Times New Roman" w:hAnsi="Calibri" w:cs="Calibri"/>
          <w:b/>
          <w:bCs/>
          <w:color w:val="000000"/>
          <w:sz w:val="22"/>
          <w:szCs w:val="22"/>
          <w:lang w:eastAsia="en-GB"/>
        </w:rPr>
        <w:t xml:space="preserve">Group </w:t>
      </w:r>
      <w:r w:rsidR="0076032F">
        <w:rPr>
          <w:rFonts w:ascii="Calibri" w:eastAsia="Times New Roman" w:hAnsi="Calibri" w:cs="Calibri"/>
          <w:b/>
          <w:bCs/>
          <w:color w:val="000000"/>
          <w:sz w:val="22"/>
          <w:szCs w:val="22"/>
          <w:lang w:eastAsia="en-GB"/>
        </w:rPr>
        <w:t xml:space="preserve">Announce </w:t>
      </w:r>
      <w:r w:rsidR="0054610A">
        <w:rPr>
          <w:rFonts w:ascii="Calibri" w:eastAsia="Times New Roman" w:hAnsi="Calibri" w:cs="Calibri"/>
          <w:b/>
          <w:bCs/>
          <w:color w:val="000000"/>
          <w:sz w:val="22"/>
          <w:szCs w:val="22"/>
          <w:lang w:eastAsia="en-GB"/>
        </w:rPr>
        <w:t>Strategic P</w:t>
      </w:r>
      <w:r w:rsidR="0076032F">
        <w:rPr>
          <w:rFonts w:ascii="Calibri" w:eastAsia="Times New Roman" w:hAnsi="Calibri" w:cs="Calibri"/>
          <w:b/>
          <w:bCs/>
          <w:color w:val="000000"/>
          <w:sz w:val="22"/>
          <w:szCs w:val="22"/>
          <w:lang w:eastAsia="en-GB"/>
        </w:rPr>
        <w:t>artnership</w:t>
      </w:r>
    </w:p>
    <w:p w14:paraId="5FED7320" w14:textId="77777777" w:rsidR="0076032F" w:rsidRDefault="0076032F" w:rsidP="00234798">
      <w:pPr>
        <w:jc w:val="center"/>
        <w:rPr>
          <w:rFonts w:ascii="Calibri" w:eastAsia="Times New Roman" w:hAnsi="Calibri" w:cs="Calibri"/>
          <w:b/>
          <w:bCs/>
          <w:color w:val="000000"/>
          <w:sz w:val="22"/>
          <w:szCs w:val="22"/>
          <w:lang w:eastAsia="en-GB"/>
        </w:rPr>
      </w:pPr>
    </w:p>
    <w:p w14:paraId="4D75D63D" w14:textId="5C774AFE" w:rsidR="00D83FE9" w:rsidRDefault="00D83FE9" w:rsidP="00D83FE9">
      <w:pPr>
        <w:jc w:val="center"/>
        <w:rPr>
          <w:rFonts w:ascii="Calibri" w:eastAsia="Times New Roman" w:hAnsi="Calibri" w:cs="Calibri"/>
          <w:i/>
          <w:iCs/>
          <w:color w:val="000000"/>
          <w:sz w:val="22"/>
          <w:szCs w:val="22"/>
          <w:lang w:eastAsia="en-GB"/>
        </w:rPr>
      </w:pPr>
      <w:r w:rsidRPr="00490152">
        <w:rPr>
          <w:rFonts w:ascii="Calibri" w:eastAsia="Times New Roman" w:hAnsi="Calibri" w:cs="Calibri"/>
          <w:i/>
          <w:iCs/>
          <w:color w:val="000000"/>
          <w:sz w:val="22"/>
          <w:szCs w:val="22"/>
          <w:lang w:eastAsia="en-GB"/>
        </w:rPr>
        <w:t xml:space="preserve">Partnership Creates Region’s Largest Biotech CRO </w:t>
      </w:r>
      <w:r>
        <w:rPr>
          <w:rFonts w:ascii="Calibri" w:eastAsia="Times New Roman" w:hAnsi="Calibri" w:cs="Calibri"/>
          <w:i/>
          <w:iCs/>
          <w:color w:val="000000"/>
          <w:sz w:val="22"/>
          <w:szCs w:val="22"/>
          <w:lang w:eastAsia="en-GB"/>
        </w:rPr>
        <w:t xml:space="preserve">Platform </w:t>
      </w:r>
      <w:r w:rsidRPr="00490152">
        <w:rPr>
          <w:rFonts w:ascii="Calibri" w:eastAsia="Times New Roman" w:hAnsi="Calibri" w:cs="Calibri"/>
          <w:i/>
          <w:iCs/>
          <w:color w:val="000000"/>
          <w:sz w:val="22"/>
          <w:szCs w:val="22"/>
          <w:lang w:eastAsia="en-GB"/>
        </w:rPr>
        <w:t>to Meet Demand for Clinical Trials in Asia</w:t>
      </w:r>
      <w:r>
        <w:rPr>
          <w:rFonts w:ascii="Calibri" w:eastAsia="Times New Roman" w:hAnsi="Calibri" w:cs="Calibri"/>
          <w:i/>
          <w:iCs/>
          <w:color w:val="000000"/>
          <w:sz w:val="22"/>
          <w:szCs w:val="22"/>
          <w:lang w:eastAsia="en-GB"/>
        </w:rPr>
        <w:t>-Pacific</w:t>
      </w:r>
    </w:p>
    <w:p w14:paraId="7CFEC98A" w14:textId="77777777" w:rsidR="00907751" w:rsidRDefault="00907751" w:rsidP="00234798">
      <w:pPr>
        <w:jc w:val="center"/>
        <w:rPr>
          <w:rFonts w:ascii="Calibri" w:eastAsia="Times New Roman" w:hAnsi="Calibri" w:cs="Calibri"/>
          <w:i/>
          <w:iCs/>
          <w:color w:val="000000"/>
          <w:sz w:val="22"/>
          <w:szCs w:val="22"/>
          <w:lang w:eastAsia="en-GB"/>
        </w:rPr>
      </w:pPr>
    </w:p>
    <w:p w14:paraId="7A83275E" w14:textId="77777777" w:rsidR="00420D72" w:rsidRDefault="00420D72">
      <w:pPr>
        <w:rPr>
          <w:rFonts w:ascii="Calibri" w:hAnsi="Calibri" w:cs="Calibri"/>
          <w:color w:val="000000" w:themeColor="text1"/>
          <w:sz w:val="22"/>
          <w:szCs w:val="22"/>
        </w:rPr>
      </w:pPr>
    </w:p>
    <w:p w14:paraId="5D4852DF" w14:textId="2097B6CB" w:rsidR="00412CA4" w:rsidRPr="00D83FE9" w:rsidRDefault="00012819" w:rsidP="00412CA4">
      <w:pPr>
        <w:rPr>
          <w:rFonts w:ascii="Calibri" w:hAnsi="Calibri" w:cs="Calibri"/>
          <w:color w:val="000000" w:themeColor="text1"/>
          <w:sz w:val="22"/>
          <w:szCs w:val="22"/>
        </w:rPr>
      </w:pPr>
      <w:r>
        <w:rPr>
          <w:rFonts w:ascii="Calibri" w:hAnsi="Calibri" w:cs="Calibri"/>
          <w:color w:val="000000" w:themeColor="text1"/>
          <w:sz w:val="22"/>
          <w:szCs w:val="22"/>
        </w:rPr>
        <w:t>SYDNEY</w:t>
      </w:r>
      <w:r w:rsidR="0076032F">
        <w:rPr>
          <w:rFonts w:ascii="Calibri" w:hAnsi="Calibri" w:cs="Calibri"/>
          <w:color w:val="000000" w:themeColor="text1"/>
          <w:sz w:val="22"/>
          <w:szCs w:val="22"/>
        </w:rPr>
        <w:t xml:space="preserve"> </w:t>
      </w:r>
      <w:r w:rsidR="002F0534">
        <w:rPr>
          <w:rFonts w:ascii="Calibri" w:hAnsi="Calibri" w:cs="Calibri"/>
          <w:color w:val="000000" w:themeColor="text1"/>
          <w:sz w:val="22"/>
          <w:szCs w:val="22"/>
        </w:rPr>
        <w:t xml:space="preserve">and SHANGHAI, </w:t>
      </w:r>
      <w:r w:rsidR="00583D56">
        <w:rPr>
          <w:rFonts w:ascii="Calibri" w:hAnsi="Calibri" w:cs="Calibri"/>
          <w:color w:val="000000" w:themeColor="text1"/>
          <w:sz w:val="22"/>
          <w:szCs w:val="22"/>
        </w:rPr>
        <w:t>3</w:t>
      </w:r>
      <w:r w:rsidR="00583D56" w:rsidRPr="00583D56">
        <w:rPr>
          <w:rFonts w:ascii="Calibri" w:hAnsi="Calibri" w:cs="Calibri"/>
          <w:color w:val="000000" w:themeColor="text1"/>
          <w:sz w:val="22"/>
          <w:szCs w:val="22"/>
          <w:vertAlign w:val="superscript"/>
        </w:rPr>
        <w:t>rd</w:t>
      </w:r>
      <w:r w:rsidR="00583D56">
        <w:rPr>
          <w:rFonts w:ascii="Calibri" w:hAnsi="Calibri" w:cs="Calibri"/>
          <w:color w:val="000000" w:themeColor="text1"/>
          <w:sz w:val="22"/>
          <w:szCs w:val="22"/>
        </w:rPr>
        <w:t xml:space="preserve"> December 2019</w:t>
      </w:r>
      <w:r w:rsidR="0076032F">
        <w:rPr>
          <w:rFonts w:ascii="Calibri" w:hAnsi="Calibri" w:cs="Calibri"/>
          <w:color w:val="000000" w:themeColor="text1"/>
          <w:sz w:val="22"/>
          <w:szCs w:val="22"/>
        </w:rPr>
        <w:t xml:space="preserve"> – </w:t>
      </w:r>
      <w:proofErr w:type="spellStart"/>
      <w:r w:rsidR="0076032F">
        <w:rPr>
          <w:rFonts w:ascii="Calibri" w:hAnsi="Calibri" w:cs="Calibri"/>
          <w:color w:val="000000" w:themeColor="text1"/>
          <w:sz w:val="22"/>
          <w:szCs w:val="22"/>
        </w:rPr>
        <w:t>Novotech</w:t>
      </w:r>
      <w:proofErr w:type="spellEnd"/>
      <w:r w:rsidR="0076032F">
        <w:rPr>
          <w:rFonts w:ascii="Calibri" w:hAnsi="Calibri" w:cs="Calibri"/>
          <w:color w:val="000000" w:themeColor="text1"/>
          <w:sz w:val="22"/>
          <w:szCs w:val="22"/>
        </w:rPr>
        <w:t xml:space="preserve"> and PPC Group</w:t>
      </w:r>
      <w:r w:rsidR="00412CA4">
        <w:rPr>
          <w:rFonts w:ascii="Calibri" w:hAnsi="Calibri" w:cs="Calibri"/>
          <w:color w:val="000000" w:themeColor="text1"/>
          <w:sz w:val="22"/>
          <w:szCs w:val="22"/>
        </w:rPr>
        <w:t xml:space="preserve"> (PPC)</w:t>
      </w:r>
      <w:r w:rsidR="0076032F">
        <w:rPr>
          <w:rFonts w:ascii="Calibri" w:hAnsi="Calibri" w:cs="Calibri"/>
          <w:color w:val="000000" w:themeColor="text1"/>
          <w:sz w:val="22"/>
          <w:szCs w:val="22"/>
        </w:rPr>
        <w:t>, two leading</w:t>
      </w:r>
      <w:r w:rsidR="00907751">
        <w:rPr>
          <w:rFonts w:ascii="Calibri" w:hAnsi="Calibri" w:cs="Calibri"/>
          <w:color w:val="000000" w:themeColor="text1"/>
          <w:sz w:val="22"/>
          <w:szCs w:val="22"/>
        </w:rPr>
        <w:t>,</w:t>
      </w:r>
      <w:r w:rsidR="0076032F">
        <w:rPr>
          <w:rFonts w:ascii="Calibri" w:hAnsi="Calibri" w:cs="Calibri"/>
          <w:color w:val="000000" w:themeColor="text1"/>
          <w:sz w:val="22"/>
          <w:szCs w:val="22"/>
        </w:rPr>
        <w:t xml:space="preserve"> Asia-Pacific </w:t>
      </w:r>
      <w:r w:rsidR="007E0AE0">
        <w:rPr>
          <w:rFonts w:ascii="Calibri" w:hAnsi="Calibri" w:cs="Calibri"/>
          <w:color w:val="000000" w:themeColor="text1"/>
          <w:sz w:val="22"/>
          <w:szCs w:val="22"/>
        </w:rPr>
        <w:t>contract research organisations (</w:t>
      </w:r>
      <w:r w:rsidR="00435628">
        <w:rPr>
          <w:rFonts w:ascii="Calibri" w:hAnsi="Calibri" w:cs="Calibri"/>
          <w:color w:val="000000" w:themeColor="text1"/>
          <w:sz w:val="22"/>
          <w:szCs w:val="22"/>
        </w:rPr>
        <w:t>CRO</w:t>
      </w:r>
      <w:r w:rsidR="008A3FB5">
        <w:rPr>
          <w:rFonts w:ascii="Calibri" w:hAnsi="Calibri" w:cs="Calibri"/>
          <w:color w:val="000000" w:themeColor="text1"/>
          <w:sz w:val="22"/>
          <w:szCs w:val="22"/>
        </w:rPr>
        <w:t>s</w:t>
      </w:r>
      <w:r w:rsidR="007E0AE0">
        <w:rPr>
          <w:rFonts w:ascii="Calibri" w:hAnsi="Calibri" w:cs="Calibri"/>
          <w:color w:val="000000" w:themeColor="text1"/>
          <w:sz w:val="22"/>
          <w:szCs w:val="22"/>
        </w:rPr>
        <w:t>)</w:t>
      </w:r>
      <w:r w:rsidR="0076032F">
        <w:rPr>
          <w:rFonts w:ascii="Calibri" w:hAnsi="Calibri" w:cs="Calibri"/>
          <w:color w:val="000000" w:themeColor="text1"/>
          <w:sz w:val="22"/>
          <w:szCs w:val="22"/>
        </w:rPr>
        <w:t xml:space="preserve">, announced today </w:t>
      </w:r>
      <w:r w:rsidR="00FD77C9">
        <w:rPr>
          <w:rFonts w:ascii="Calibri" w:hAnsi="Calibri" w:cs="Calibri"/>
          <w:color w:val="000000" w:themeColor="text1"/>
          <w:sz w:val="22"/>
          <w:szCs w:val="22"/>
        </w:rPr>
        <w:t>that they have formed a strategic partnership</w:t>
      </w:r>
      <w:r w:rsidR="007C273C">
        <w:rPr>
          <w:rFonts w:ascii="Calibri" w:hAnsi="Calibri" w:cs="Calibri"/>
          <w:color w:val="000000" w:themeColor="text1"/>
          <w:sz w:val="22"/>
          <w:szCs w:val="22"/>
        </w:rPr>
        <w:t xml:space="preserve"> to meet growing demand for clinical trials in the region. The partnership</w:t>
      </w:r>
      <w:r w:rsidR="00412CA4">
        <w:rPr>
          <w:rFonts w:ascii="Calibri" w:hAnsi="Calibri" w:cs="Calibri"/>
          <w:color w:val="000000" w:themeColor="text1"/>
          <w:sz w:val="22"/>
          <w:szCs w:val="22"/>
        </w:rPr>
        <w:t xml:space="preserve"> </w:t>
      </w:r>
      <w:r w:rsidR="007C273C">
        <w:rPr>
          <w:rFonts w:ascii="Calibri" w:hAnsi="Calibri" w:cs="Calibri"/>
          <w:color w:val="000000" w:themeColor="text1"/>
          <w:sz w:val="22"/>
          <w:szCs w:val="22"/>
        </w:rPr>
        <w:t>creates</w:t>
      </w:r>
      <w:r w:rsidR="007C273C" w:rsidRPr="007C273C">
        <w:rPr>
          <w:rFonts w:ascii="Calibri" w:hAnsi="Calibri" w:cs="Calibri"/>
          <w:color w:val="000000" w:themeColor="text1"/>
          <w:sz w:val="22"/>
          <w:szCs w:val="22"/>
        </w:rPr>
        <w:t xml:space="preserve"> </w:t>
      </w:r>
      <w:r w:rsidR="007C273C">
        <w:rPr>
          <w:rFonts w:ascii="Calibri" w:hAnsi="Calibri" w:cs="Calibri"/>
          <w:color w:val="000000" w:themeColor="text1"/>
          <w:sz w:val="22"/>
          <w:szCs w:val="22"/>
        </w:rPr>
        <w:t xml:space="preserve">the largest biotech specialist CRO platform in the Asia-Pacific, bringing together approximately </w:t>
      </w:r>
      <w:r w:rsidR="00412CA4">
        <w:rPr>
          <w:rFonts w:ascii="Calibri" w:hAnsi="Calibri" w:cs="Calibri"/>
          <w:color w:val="000000" w:themeColor="text1"/>
          <w:sz w:val="22"/>
          <w:szCs w:val="22"/>
        </w:rPr>
        <w:t xml:space="preserve">1,200 staff with significant scale </w:t>
      </w:r>
      <w:r w:rsidR="00907751">
        <w:rPr>
          <w:rFonts w:ascii="Calibri" w:hAnsi="Calibri" w:cs="Calibri"/>
          <w:color w:val="000000" w:themeColor="text1"/>
          <w:sz w:val="22"/>
          <w:szCs w:val="22"/>
        </w:rPr>
        <w:t xml:space="preserve">and synergies </w:t>
      </w:r>
      <w:r w:rsidR="00412CA4">
        <w:rPr>
          <w:rFonts w:ascii="Calibri" w:hAnsi="Calibri" w:cs="Calibri"/>
          <w:color w:val="000000" w:themeColor="text1"/>
          <w:sz w:val="22"/>
          <w:szCs w:val="22"/>
        </w:rPr>
        <w:t>across countries, research institutions, trial phases, therapeutic areas and functional specialities</w:t>
      </w:r>
      <w:r w:rsidR="007C273C">
        <w:rPr>
          <w:rFonts w:ascii="Calibri" w:hAnsi="Calibri" w:cs="Calibri"/>
          <w:color w:val="000000" w:themeColor="text1"/>
          <w:sz w:val="22"/>
          <w:szCs w:val="22"/>
        </w:rPr>
        <w:t xml:space="preserve">. </w:t>
      </w:r>
    </w:p>
    <w:p w14:paraId="3508FAF2" w14:textId="1B2A129F" w:rsidR="00320187" w:rsidRDefault="00320187">
      <w:pPr>
        <w:rPr>
          <w:rFonts w:ascii="Calibri" w:hAnsi="Calibri" w:cs="Calibri"/>
          <w:color w:val="000000" w:themeColor="text1"/>
          <w:sz w:val="22"/>
          <w:szCs w:val="22"/>
        </w:rPr>
      </w:pPr>
    </w:p>
    <w:p w14:paraId="38192F96" w14:textId="454E3338" w:rsidR="00320187" w:rsidRDefault="00320187">
      <w:pPr>
        <w:rPr>
          <w:rFonts w:ascii="Calibri" w:hAnsi="Calibri" w:cs="Calibri"/>
          <w:color w:val="000000" w:themeColor="text1"/>
          <w:sz w:val="22"/>
          <w:szCs w:val="22"/>
        </w:rPr>
      </w:pPr>
      <w:proofErr w:type="spellStart"/>
      <w:r>
        <w:rPr>
          <w:rFonts w:ascii="Calibri" w:hAnsi="Calibri" w:cs="Calibri"/>
          <w:color w:val="000000" w:themeColor="text1"/>
          <w:sz w:val="22"/>
          <w:szCs w:val="22"/>
        </w:rPr>
        <w:t>Novotech</w:t>
      </w:r>
      <w:proofErr w:type="spellEnd"/>
      <w:r w:rsidR="00D6491A">
        <w:rPr>
          <w:rFonts w:ascii="Calibri" w:hAnsi="Calibri" w:cs="Calibri"/>
          <w:color w:val="000000" w:themeColor="text1"/>
          <w:sz w:val="22"/>
          <w:szCs w:val="22"/>
        </w:rPr>
        <w:t xml:space="preserve"> and PPC</w:t>
      </w:r>
      <w:r>
        <w:rPr>
          <w:rFonts w:ascii="Calibri" w:hAnsi="Calibri" w:cs="Calibri"/>
          <w:color w:val="000000" w:themeColor="text1"/>
          <w:sz w:val="22"/>
          <w:szCs w:val="22"/>
        </w:rPr>
        <w:t xml:space="preserve"> are majority owned by TPG Capital Asia and have already been working closely over the last two years collaborating on delivering biotech clinical trials in the region. </w:t>
      </w:r>
      <w:r w:rsidR="002F0534">
        <w:rPr>
          <w:rFonts w:ascii="Calibri" w:hAnsi="Calibri" w:cs="Calibri"/>
          <w:color w:val="000000" w:themeColor="text1"/>
          <w:sz w:val="22"/>
          <w:szCs w:val="22"/>
        </w:rPr>
        <w:t>Under the partnership, the companies</w:t>
      </w:r>
      <w:r>
        <w:rPr>
          <w:rFonts w:ascii="Calibri" w:hAnsi="Calibri" w:cs="Calibri"/>
          <w:color w:val="000000" w:themeColor="text1"/>
          <w:sz w:val="22"/>
          <w:szCs w:val="22"/>
        </w:rPr>
        <w:t xml:space="preserve"> will share an integrated governance structure a</w:t>
      </w:r>
      <w:r w:rsidR="008E524C">
        <w:rPr>
          <w:rFonts w:ascii="Calibri" w:hAnsi="Calibri" w:cs="Calibri"/>
          <w:color w:val="000000" w:themeColor="text1"/>
          <w:sz w:val="22"/>
          <w:szCs w:val="22"/>
        </w:rPr>
        <w:t>s well as</w:t>
      </w:r>
      <w:r>
        <w:rPr>
          <w:rFonts w:ascii="Calibri" w:hAnsi="Calibri" w:cs="Calibri"/>
          <w:color w:val="000000" w:themeColor="text1"/>
          <w:sz w:val="22"/>
          <w:szCs w:val="22"/>
        </w:rPr>
        <w:t xml:space="preserve"> aligned systems and processes. The structure creates a scalable, regional platform, </w:t>
      </w:r>
      <w:r w:rsidR="00907751">
        <w:rPr>
          <w:rFonts w:ascii="Calibri" w:hAnsi="Calibri" w:cs="Calibri"/>
          <w:color w:val="000000" w:themeColor="text1"/>
          <w:sz w:val="22"/>
          <w:szCs w:val="22"/>
        </w:rPr>
        <w:t>whereby</w:t>
      </w:r>
      <w:r>
        <w:rPr>
          <w:rFonts w:ascii="Calibri" w:hAnsi="Calibri" w:cs="Calibri"/>
          <w:color w:val="000000" w:themeColor="text1"/>
          <w:sz w:val="22"/>
          <w:szCs w:val="22"/>
        </w:rPr>
        <w:t xml:space="preserve"> both </w:t>
      </w:r>
      <w:r w:rsidR="00907751">
        <w:rPr>
          <w:rFonts w:ascii="Calibri" w:hAnsi="Calibri" w:cs="Calibri"/>
          <w:color w:val="000000" w:themeColor="text1"/>
          <w:sz w:val="22"/>
          <w:szCs w:val="22"/>
        </w:rPr>
        <w:t>companies will continue</w:t>
      </w:r>
      <w:r>
        <w:rPr>
          <w:rFonts w:ascii="Calibri" w:hAnsi="Calibri" w:cs="Calibri"/>
          <w:color w:val="000000" w:themeColor="text1"/>
          <w:sz w:val="22"/>
          <w:szCs w:val="22"/>
        </w:rPr>
        <w:t xml:space="preserve"> to retain their own management teams, office locations and brands.</w:t>
      </w:r>
    </w:p>
    <w:p w14:paraId="144D41DE" w14:textId="77777777" w:rsidR="00E1097F" w:rsidRDefault="00E1097F">
      <w:pPr>
        <w:rPr>
          <w:rFonts w:ascii="Calibri" w:hAnsi="Calibri" w:cs="Calibri"/>
          <w:color w:val="000000" w:themeColor="text1"/>
          <w:sz w:val="22"/>
          <w:szCs w:val="22"/>
        </w:rPr>
      </w:pPr>
    </w:p>
    <w:p w14:paraId="16C5FC60" w14:textId="5EE941CF" w:rsidR="005273B2" w:rsidRDefault="00D81D3D" w:rsidP="005273B2">
      <w:pPr>
        <w:rPr>
          <w:rFonts w:ascii="Calibri" w:hAnsi="Calibri" w:cs="Calibri"/>
          <w:color w:val="000000" w:themeColor="text1"/>
          <w:sz w:val="22"/>
          <w:szCs w:val="22"/>
        </w:rPr>
      </w:pPr>
      <w:r w:rsidRPr="00B46F8E">
        <w:rPr>
          <w:rFonts w:ascii="Calibri" w:hAnsi="Calibri" w:cs="Calibri"/>
          <w:color w:val="000000" w:themeColor="text1"/>
          <w:sz w:val="22"/>
          <w:szCs w:val="22"/>
        </w:rPr>
        <w:t>Globally, b</w:t>
      </w:r>
      <w:r w:rsidR="005273B2" w:rsidRPr="00B46F8E">
        <w:rPr>
          <w:rFonts w:ascii="Calibri" w:hAnsi="Calibri" w:cs="Calibri"/>
          <w:color w:val="000000" w:themeColor="text1"/>
          <w:sz w:val="22"/>
          <w:szCs w:val="22"/>
        </w:rPr>
        <w:t xml:space="preserve">iotech clinical </w:t>
      </w:r>
      <w:r w:rsidRPr="00B46F8E">
        <w:rPr>
          <w:rFonts w:ascii="Calibri" w:hAnsi="Calibri" w:cs="Calibri"/>
          <w:color w:val="000000" w:themeColor="text1"/>
          <w:sz w:val="22"/>
          <w:szCs w:val="22"/>
        </w:rPr>
        <w:t xml:space="preserve">research </w:t>
      </w:r>
      <w:r w:rsidR="005273B2" w:rsidRPr="00B46F8E">
        <w:rPr>
          <w:rFonts w:ascii="Calibri" w:hAnsi="Calibri" w:cs="Calibri"/>
          <w:color w:val="000000" w:themeColor="text1"/>
          <w:sz w:val="22"/>
          <w:szCs w:val="22"/>
        </w:rPr>
        <w:t xml:space="preserve">activity has increased </w:t>
      </w:r>
      <w:r w:rsidR="009E70E9">
        <w:rPr>
          <w:rFonts w:ascii="Calibri" w:hAnsi="Calibri" w:cs="Calibri"/>
          <w:color w:val="000000" w:themeColor="text1"/>
          <w:sz w:val="22"/>
          <w:szCs w:val="22"/>
        </w:rPr>
        <w:t>by</w:t>
      </w:r>
      <w:r w:rsidR="005273B2" w:rsidRPr="00B46F8E">
        <w:rPr>
          <w:rFonts w:ascii="Calibri" w:hAnsi="Calibri" w:cs="Calibri"/>
          <w:color w:val="000000" w:themeColor="text1"/>
          <w:sz w:val="22"/>
          <w:szCs w:val="22"/>
        </w:rPr>
        <w:t xml:space="preserve"> 10 per cent each year</w:t>
      </w:r>
      <w:r w:rsidR="002A110D" w:rsidRPr="00B46F8E">
        <w:rPr>
          <w:rFonts w:ascii="Calibri" w:hAnsi="Calibri" w:cs="Calibri"/>
          <w:color w:val="000000" w:themeColor="text1"/>
          <w:sz w:val="22"/>
          <w:szCs w:val="22"/>
        </w:rPr>
        <w:t xml:space="preserve"> over the </w:t>
      </w:r>
      <w:r w:rsidR="009E70E9">
        <w:rPr>
          <w:rFonts w:ascii="Calibri" w:hAnsi="Calibri" w:cs="Calibri"/>
          <w:color w:val="000000" w:themeColor="text1"/>
          <w:sz w:val="22"/>
          <w:szCs w:val="22"/>
        </w:rPr>
        <w:t>past few</w:t>
      </w:r>
      <w:r w:rsidR="002A110D" w:rsidRPr="00B46F8E">
        <w:rPr>
          <w:rFonts w:ascii="Calibri" w:hAnsi="Calibri" w:cs="Calibri"/>
          <w:color w:val="000000" w:themeColor="text1"/>
          <w:sz w:val="22"/>
          <w:szCs w:val="22"/>
        </w:rPr>
        <w:t xml:space="preserve"> years</w:t>
      </w:r>
      <w:r w:rsidR="00D83FE9">
        <w:rPr>
          <w:rFonts w:ascii="Calibri" w:hAnsi="Calibri" w:cs="Calibri"/>
          <w:color w:val="000000" w:themeColor="text1"/>
          <w:sz w:val="22"/>
          <w:szCs w:val="22"/>
        </w:rPr>
        <w:t>.</w:t>
      </w:r>
      <w:r w:rsidRPr="00B46F8E">
        <w:rPr>
          <w:rFonts w:ascii="Calibri" w:hAnsi="Calibri" w:cs="Calibri"/>
          <w:color w:val="000000" w:themeColor="text1"/>
          <w:sz w:val="22"/>
          <w:szCs w:val="22"/>
        </w:rPr>
        <w:t xml:space="preserve"> </w:t>
      </w:r>
      <w:r w:rsidR="00D83FE9">
        <w:rPr>
          <w:rFonts w:ascii="Calibri" w:hAnsi="Calibri" w:cs="Calibri"/>
          <w:color w:val="000000" w:themeColor="text1"/>
          <w:sz w:val="22"/>
          <w:szCs w:val="22"/>
        </w:rPr>
        <w:t>I</w:t>
      </w:r>
      <w:r w:rsidRPr="00B46F8E">
        <w:rPr>
          <w:rFonts w:ascii="Calibri" w:hAnsi="Calibri" w:cs="Calibri"/>
          <w:color w:val="000000" w:themeColor="text1"/>
          <w:sz w:val="22"/>
          <w:szCs w:val="22"/>
        </w:rPr>
        <w:t>n</w:t>
      </w:r>
      <w:r w:rsidR="005273B2" w:rsidRPr="00B46F8E">
        <w:rPr>
          <w:rFonts w:ascii="Calibri" w:hAnsi="Calibri" w:cs="Calibri"/>
          <w:color w:val="000000" w:themeColor="text1"/>
          <w:sz w:val="22"/>
          <w:szCs w:val="22"/>
        </w:rPr>
        <w:t xml:space="preserve"> the Asi</w:t>
      </w:r>
      <w:r w:rsidR="002A110D" w:rsidRPr="00B46F8E">
        <w:rPr>
          <w:rFonts w:ascii="Calibri" w:hAnsi="Calibri" w:cs="Calibri"/>
          <w:color w:val="000000" w:themeColor="text1"/>
          <w:sz w:val="22"/>
          <w:szCs w:val="22"/>
        </w:rPr>
        <w:t>a</w:t>
      </w:r>
      <w:r w:rsidR="005273B2" w:rsidRPr="00B46F8E">
        <w:rPr>
          <w:rFonts w:ascii="Calibri" w:hAnsi="Calibri" w:cs="Calibri"/>
          <w:color w:val="000000" w:themeColor="text1"/>
          <w:sz w:val="22"/>
          <w:szCs w:val="22"/>
        </w:rPr>
        <w:t xml:space="preserve"> region, the increase has been </w:t>
      </w:r>
      <w:r w:rsidR="009E70E9">
        <w:rPr>
          <w:rFonts w:ascii="Calibri" w:hAnsi="Calibri" w:cs="Calibri"/>
          <w:color w:val="000000" w:themeColor="text1"/>
          <w:sz w:val="22"/>
          <w:szCs w:val="22"/>
        </w:rPr>
        <w:t>over 25</w:t>
      </w:r>
      <w:r w:rsidR="005273B2" w:rsidRPr="00B46F8E">
        <w:rPr>
          <w:rFonts w:ascii="Calibri" w:hAnsi="Calibri" w:cs="Calibri"/>
          <w:color w:val="000000" w:themeColor="text1"/>
          <w:sz w:val="22"/>
          <w:szCs w:val="22"/>
        </w:rPr>
        <w:t xml:space="preserve"> per cent</w:t>
      </w:r>
      <w:r w:rsidR="00204F59" w:rsidRPr="00B46F8E">
        <w:rPr>
          <w:rFonts w:ascii="Calibri" w:hAnsi="Calibri" w:cs="Calibri"/>
          <w:color w:val="000000" w:themeColor="text1"/>
          <w:sz w:val="22"/>
          <w:szCs w:val="22"/>
        </w:rPr>
        <w:t xml:space="preserve"> per year</w:t>
      </w:r>
      <w:r w:rsidR="008E524C">
        <w:rPr>
          <w:rFonts w:ascii="Calibri" w:hAnsi="Calibri" w:cs="Calibri"/>
          <w:color w:val="000000" w:themeColor="text1"/>
          <w:sz w:val="22"/>
          <w:szCs w:val="22"/>
        </w:rPr>
        <w:t>.</w:t>
      </w:r>
      <w:r w:rsidR="008E524C">
        <w:rPr>
          <w:rStyle w:val="FootnoteReference"/>
          <w:rFonts w:ascii="Calibri" w:hAnsi="Calibri" w:cs="Calibri"/>
          <w:color w:val="000000" w:themeColor="text1"/>
          <w:sz w:val="22"/>
          <w:szCs w:val="22"/>
        </w:rPr>
        <w:footnoteReference w:id="1"/>
      </w:r>
      <w:r w:rsidR="00D83FE9">
        <w:rPr>
          <w:rFonts w:ascii="Calibri" w:hAnsi="Calibri" w:cs="Calibri"/>
          <w:color w:val="000000" w:themeColor="text1"/>
          <w:sz w:val="22"/>
          <w:szCs w:val="22"/>
        </w:rPr>
        <w:t xml:space="preserve"> </w:t>
      </w:r>
    </w:p>
    <w:p w14:paraId="56381A40" w14:textId="77777777" w:rsidR="00046204" w:rsidRDefault="00046204">
      <w:pPr>
        <w:rPr>
          <w:rFonts w:ascii="Calibri" w:hAnsi="Calibri" w:cs="Calibri"/>
          <w:color w:val="000000" w:themeColor="text1"/>
          <w:sz w:val="22"/>
          <w:szCs w:val="22"/>
        </w:rPr>
      </w:pPr>
    </w:p>
    <w:p w14:paraId="35141340" w14:textId="34189339" w:rsidR="008A3FB5" w:rsidRDefault="008A3FB5">
      <w:pPr>
        <w:rPr>
          <w:rFonts w:ascii="Calibri" w:hAnsi="Calibri" w:cs="Calibri"/>
          <w:color w:val="000000" w:themeColor="text1"/>
          <w:sz w:val="22"/>
          <w:szCs w:val="22"/>
        </w:rPr>
      </w:pPr>
      <w:r>
        <w:rPr>
          <w:rFonts w:ascii="Calibri" w:hAnsi="Calibri" w:cs="Calibri"/>
          <w:color w:val="000000" w:themeColor="text1"/>
          <w:sz w:val="22"/>
          <w:szCs w:val="22"/>
        </w:rPr>
        <w:t xml:space="preserve">TPG Capital Asia’s Head of Australia and New Zealand Joel </w:t>
      </w:r>
      <w:proofErr w:type="spellStart"/>
      <w:r>
        <w:rPr>
          <w:rFonts w:ascii="Calibri" w:hAnsi="Calibri" w:cs="Calibri"/>
          <w:color w:val="000000" w:themeColor="text1"/>
          <w:sz w:val="22"/>
          <w:szCs w:val="22"/>
        </w:rPr>
        <w:t>Thickins</w:t>
      </w:r>
      <w:proofErr w:type="spellEnd"/>
      <w:r>
        <w:rPr>
          <w:rFonts w:ascii="Calibri" w:hAnsi="Calibri" w:cs="Calibri"/>
          <w:color w:val="000000" w:themeColor="text1"/>
          <w:sz w:val="22"/>
          <w:szCs w:val="22"/>
        </w:rPr>
        <w:t xml:space="preserve"> said of the partnership:</w:t>
      </w:r>
    </w:p>
    <w:p w14:paraId="1B84736D" w14:textId="434CDFF5" w:rsidR="000B3538" w:rsidRDefault="000B3538">
      <w:pPr>
        <w:rPr>
          <w:rFonts w:ascii="Calibri" w:hAnsi="Calibri" w:cs="Calibri"/>
          <w:color w:val="000000" w:themeColor="text1"/>
          <w:sz w:val="22"/>
          <w:szCs w:val="22"/>
        </w:rPr>
      </w:pPr>
    </w:p>
    <w:p w14:paraId="69EB28EE" w14:textId="051C8181" w:rsidR="00521499" w:rsidRDefault="000B3538">
      <w:pPr>
        <w:rPr>
          <w:rFonts w:ascii="Calibri" w:hAnsi="Calibri" w:cs="Calibri"/>
          <w:color w:val="000000" w:themeColor="text1"/>
          <w:sz w:val="22"/>
          <w:szCs w:val="22"/>
        </w:rPr>
      </w:pPr>
      <w:r>
        <w:rPr>
          <w:rFonts w:ascii="Calibri" w:hAnsi="Calibri" w:cs="Calibri"/>
          <w:color w:val="000000" w:themeColor="text1"/>
          <w:sz w:val="22"/>
          <w:szCs w:val="22"/>
        </w:rPr>
        <w:t>“The combined group’s presence as the largest biotech specialist CRO in the Asia Pacific region p</w:t>
      </w:r>
      <w:r w:rsidR="00510459">
        <w:rPr>
          <w:rFonts w:ascii="Calibri" w:hAnsi="Calibri" w:cs="Calibri"/>
          <w:color w:val="000000" w:themeColor="text1"/>
          <w:sz w:val="22"/>
          <w:szCs w:val="22"/>
        </w:rPr>
        <w:t>resents significant growth opportunities</w:t>
      </w:r>
      <w:r w:rsidR="007E005F">
        <w:rPr>
          <w:rFonts w:ascii="Calibri" w:hAnsi="Calibri" w:cs="Calibri"/>
          <w:color w:val="000000" w:themeColor="text1"/>
          <w:sz w:val="22"/>
          <w:szCs w:val="22"/>
        </w:rPr>
        <w:t xml:space="preserve"> and a greater ability to service a fast-growing market with attractive industry fundamentals.”</w:t>
      </w:r>
    </w:p>
    <w:p w14:paraId="1615FEED" w14:textId="77777777" w:rsidR="00FC2E4B" w:rsidRDefault="00FC2E4B" w:rsidP="00435628">
      <w:pPr>
        <w:rPr>
          <w:color w:val="000000" w:themeColor="text1"/>
          <w:sz w:val="22"/>
          <w:szCs w:val="22"/>
        </w:rPr>
      </w:pPr>
    </w:p>
    <w:p w14:paraId="3A9C95D9" w14:textId="660787F6" w:rsidR="002C23B7" w:rsidRDefault="00435628" w:rsidP="00435628">
      <w:pPr>
        <w:rPr>
          <w:color w:val="000000" w:themeColor="text1"/>
          <w:sz w:val="22"/>
          <w:szCs w:val="22"/>
        </w:rPr>
      </w:pPr>
      <w:proofErr w:type="spellStart"/>
      <w:r w:rsidRPr="00435628">
        <w:rPr>
          <w:color w:val="000000" w:themeColor="text1"/>
          <w:sz w:val="22"/>
          <w:szCs w:val="22"/>
        </w:rPr>
        <w:t>Novotech</w:t>
      </w:r>
      <w:proofErr w:type="spellEnd"/>
      <w:r w:rsidRPr="00435628">
        <w:rPr>
          <w:color w:val="000000" w:themeColor="text1"/>
          <w:sz w:val="22"/>
          <w:szCs w:val="22"/>
        </w:rPr>
        <w:t xml:space="preserve"> CEO</w:t>
      </w:r>
      <w:r>
        <w:rPr>
          <w:color w:val="000000" w:themeColor="text1"/>
          <w:sz w:val="22"/>
          <w:szCs w:val="22"/>
        </w:rPr>
        <w:t xml:space="preserve"> </w:t>
      </w:r>
      <w:r w:rsidR="00D81D3D">
        <w:rPr>
          <w:color w:val="000000" w:themeColor="text1"/>
          <w:sz w:val="22"/>
          <w:szCs w:val="22"/>
        </w:rPr>
        <w:t xml:space="preserve">Dr </w:t>
      </w:r>
      <w:r>
        <w:rPr>
          <w:color w:val="000000" w:themeColor="text1"/>
          <w:sz w:val="22"/>
          <w:szCs w:val="22"/>
        </w:rPr>
        <w:t>John Moller</w:t>
      </w:r>
      <w:r w:rsidRPr="00435628">
        <w:rPr>
          <w:color w:val="000000" w:themeColor="text1"/>
          <w:sz w:val="22"/>
          <w:szCs w:val="22"/>
        </w:rPr>
        <w:t xml:space="preserve"> said:</w:t>
      </w:r>
    </w:p>
    <w:p w14:paraId="330DABFD" w14:textId="77777777" w:rsidR="00FC2E4B" w:rsidRDefault="00FC2E4B" w:rsidP="00435628">
      <w:pPr>
        <w:rPr>
          <w:color w:val="000000" w:themeColor="text1"/>
          <w:sz w:val="22"/>
          <w:szCs w:val="22"/>
        </w:rPr>
      </w:pPr>
    </w:p>
    <w:p w14:paraId="3D519D6C" w14:textId="2D425EFC" w:rsidR="00973530" w:rsidRDefault="00C730F6" w:rsidP="00435628">
      <w:pPr>
        <w:rPr>
          <w:rFonts w:ascii="Calibri" w:hAnsi="Calibri" w:cs="Calibri"/>
          <w:color w:val="000000" w:themeColor="text1"/>
          <w:sz w:val="22"/>
          <w:szCs w:val="22"/>
        </w:rPr>
      </w:pPr>
      <w:r>
        <w:rPr>
          <w:color w:val="000000" w:themeColor="text1"/>
          <w:sz w:val="22"/>
          <w:szCs w:val="22"/>
        </w:rPr>
        <w:t xml:space="preserve">“Strengthening our </w:t>
      </w:r>
      <w:r w:rsidR="00973530">
        <w:rPr>
          <w:color w:val="000000" w:themeColor="text1"/>
          <w:sz w:val="22"/>
          <w:szCs w:val="22"/>
        </w:rPr>
        <w:t>relationship</w:t>
      </w:r>
      <w:r>
        <w:rPr>
          <w:color w:val="000000" w:themeColor="text1"/>
          <w:sz w:val="22"/>
          <w:szCs w:val="22"/>
        </w:rPr>
        <w:t xml:space="preserve"> with PPC will</w:t>
      </w:r>
      <w:r w:rsidR="00B873F4">
        <w:rPr>
          <w:color w:val="000000" w:themeColor="text1"/>
          <w:sz w:val="22"/>
          <w:szCs w:val="22"/>
        </w:rPr>
        <w:t xml:space="preserve"> allow us to provide a seamless service to our </w:t>
      </w:r>
      <w:r w:rsidR="00FE3B60">
        <w:rPr>
          <w:color w:val="000000" w:themeColor="text1"/>
          <w:sz w:val="22"/>
          <w:szCs w:val="22"/>
        </w:rPr>
        <w:t xml:space="preserve">biotech clients, particularly with </w:t>
      </w:r>
      <w:r w:rsidR="005528BB">
        <w:rPr>
          <w:color w:val="000000" w:themeColor="text1"/>
          <w:sz w:val="22"/>
          <w:szCs w:val="22"/>
        </w:rPr>
        <w:t>access to PPC’s</w:t>
      </w:r>
      <w:r w:rsidR="00FE3B60">
        <w:rPr>
          <w:color w:val="000000" w:themeColor="text1"/>
          <w:sz w:val="22"/>
          <w:szCs w:val="22"/>
        </w:rPr>
        <w:t xml:space="preserve"> </w:t>
      </w:r>
      <w:r w:rsidR="005528BB">
        <w:rPr>
          <w:color w:val="000000" w:themeColor="text1"/>
          <w:sz w:val="22"/>
          <w:szCs w:val="22"/>
        </w:rPr>
        <w:t>more than</w:t>
      </w:r>
      <w:r w:rsidR="00FE3B60">
        <w:rPr>
          <w:color w:val="000000" w:themeColor="text1"/>
          <w:sz w:val="22"/>
          <w:szCs w:val="22"/>
        </w:rPr>
        <w:t xml:space="preserve"> 350 </w:t>
      </w:r>
      <w:r w:rsidR="005528BB">
        <w:rPr>
          <w:color w:val="000000" w:themeColor="text1"/>
          <w:sz w:val="22"/>
          <w:szCs w:val="22"/>
        </w:rPr>
        <w:t xml:space="preserve">Clinical and </w:t>
      </w:r>
      <w:r w:rsidR="000B3A6D">
        <w:rPr>
          <w:color w:val="000000" w:themeColor="text1"/>
          <w:sz w:val="22"/>
          <w:szCs w:val="22"/>
        </w:rPr>
        <w:t>O</w:t>
      </w:r>
      <w:r w:rsidR="005528BB">
        <w:rPr>
          <w:color w:val="000000" w:themeColor="text1"/>
          <w:sz w:val="22"/>
          <w:szCs w:val="22"/>
        </w:rPr>
        <w:t xml:space="preserve">perations </w:t>
      </w:r>
      <w:r w:rsidR="00FE3B60">
        <w:rPr>
          <w:color w:val="000000" w:themeColor="text1"/>
          <w:sz w:val="22"/>
          <w:szCs w:val="22"/>
        </w:rPr>
        <w:t xml:space="preserve">staff across 28 cities in mainland China.  Our increased scale will allow us to </w:t>
      </w:r>
      <w:r w:rsidR="00900B9C">
        <w:rPr>
          <w:color w:val="000000" w:themeColor="text1"/>
          <w:sz w:val="22"/>
          <w:szCs w:val="22"/>
        </w:rPr>
        <w:t xml:space="preserve">further </w:t>
      </w:r>
      <w:r w:rsidR="00FE3B60">
        <w:rPr>
          <w:color w:val="000000" w:themeColor="text1"/>
          <w:sz w:val="22"/>
          <w:szCs w:val="22"/>
        </w:rPr>
        <w:t>invest in quality.  This is a good thing for our clients, for institutions and for patients.</w:t>
      </w:r>
      <w:r w:rsidR="00D83FE9">
        <w:rPr>
          <w:color w:val="000000" w:themeColor="text1"/>
          <w:sz w:val="22"/>
          <w:szCs w:val="22"/>
        </w:rPr>
        <w:t>”</w:t>
      </w:r>
    </w:p>
    <w:p w14:paraId="7211B151" w14:textId="2BCC61DE" w:rsidR="00435628" w:rsidRDefault="00435628" w:rsidP="00435628">
      <w:pPr>
        <w:rPr>
          <w:rFonts w:ascii="Calibri" w:hAnsi="Calibri" w:cs="Calibri"/>
          <w:i/>
          <w:iCs/>
          <w:color w:val="000000" w:themeColor="text1"/>
          <w:sz w:val="22"/>
          <w:szCs w:val="22"/>
        </w:rPr>
      </w:pPr>
    </w:p>
    <w:p w14:paraId="5AD35BC9" w14:textId="4511AE4C" w:rsidR="00435628" w:rsidRDefault="00435628" w:rsidP="00435628">
      <w:pPr>
        <w:rPr>
          <w:rFonts w:ascii="Calibri" w:hAnsi="Calibri" w:cs="Calibri"/>
          <w:color w:val="000000" w:themeColor="text1"/>
          <w:sz w:val="22"/>
          <w:szCs w:val="22"/>
        </w:rPr>
      </w:pPr>
      <w:r>
        <w:rPr>
          <w:rFonts w:ascii="Calibri" w:hAnsi="Calibri" w:cs="Calibri"/>
          <w:color w:val="000000" w:themeColor="text1"/>
          <w:sz w:val="22"/>
          <w:szCs w:val="22"/>
        </w:rPr>
        <w:t xml:space="preserve">PPC </w:t>
      </w:r>
      <w:r w:rsidR="00B02BFA">
        <w:rPr>
          <w:rFonts w:ascii="Calibri" w:hAnsi="Calibri" w:cs="Calibri"/>
          <w:color w:val="000000" w:themeColor="text1"/>
          <w:sz w:val="22"/>
          <w:szCs w:val="22"/>
        </w:rPr>
        <w:t xml:space="preserve">Group </w:t>
      </w:r>
      <w:r>
        <w:rPr>
          <w:rFonts w:ascii="Calibri" w:hAnsi="Calibri" w:cs="Calibri"/>
          <w:color w:val="000000" w:themeColor="text1"/>
          <w:sz w:val="22"/>
          <w:szCs w:val="22"/>
        </w:rPr>
        <w:t>CEO Michael Stibilj said:</w:t>
      </w:r>
    </w:p>
    <w:p w14:paraId="25AFB287" w14:textId="77777777" w:rsidR="000221BB" w:rsidRDefault="000221BB" w:rsidP="00435628">
      <w:pPr>
        <w:rPr>
          <w:rFonts w:ascii="Calibri" w:hAnsi="Calibri" w:cs="Calibri"/>
          <w:i/>
          <w:iCs/>
          <w:color w:val="000000" w:themeColor="text1"/>
          <w:sz w:val="22"/>
          <w:szCs w:val="22"/>
        </w:rPr>
      </w:pPr>
    </w:p>
    <w:p w14:paraId="18377360" w14:textId="2FE2C710" w:rsidR="00FE3B60" w:rsidRDefault="00435628" w:rsidP="00FE3B60">
      <w:pPr>
        <w:rPr>
          <w:rFonts w:ascii="Calibri" w:hAnsi="Calibri" w:cs="Calibri"/>
          <w:color w:val="000000" w:themeColor="text1"/>
          <w:sz w:val="22"/>
          <w:szCs w:val="22"/>
        </w:rPr>
      </w:pPr>
      <w:r w:rsidRPr="00435628">
        <w:rPr>
          <w:rFonts w:ascii="Calibri" w:hAnsi="Calibri" w:cs="Calibri"/>
          <w:color w:val="000000" w:themeColor="text1"/>
          <w:sz w:val="22"/>
          <w:szCs w:val="22"/>
        </w:rPr>
        <w:t xml:space="preserve">“PPC and </w:t>
      </w:r>
      <w:proofErr w:type="spellStart"/>
      <w:r w:rsidRPr="00435628">
        <w:rPr>
          <w:rFonts w:ascii="Calibri" w:hAnsi="Calibri" w:cs="Calibri"/>
          <w:color w:val="000000" w:themeColor="text1"/>
          <w:sz w:val="22"/>
          <w:szCs w:val="22"/>
        </w:rPr>
        <w:t>Novotech</w:t>
      </w:r>
      <w:proofErr w:type="spellEnd"/>
      <w:r w:rsidRPr="00435628">
        <w:rPr>
          <w:rFonts w:ascii="Calibri" w:hAnsi="Calibri" w:cs="Calibri"/>
          <w:color w:val="000000" w:themeColor="text1"/>
          <w:sz w:val="22"/>
          <w:szCs w:val="22"/>
        </w:rPr>
        <w:t xml:space="preserve"> have a strong record of working together</w:t>
      </w:r>
      <w:r w:rsidR="00C02498">
        <w:rPr>
          <w:rFonts w:ascii="Calibri" w:hAnsi="Calibri" w:cs="Calibri"/>
          <w:color w:val="000000" w:themeColor="text1"/>
          <w:sz w:val="22"/>
          <w:szCs w:val="22"/>
        </w:rPr>
        <w:t xml:space="preserve">. </w:t>
      </w:r>
      <w:r w:rsidR="00AE6688">
        <w:rPr>
          <w:rFonts w:ascii="Calibri" w:hAnsi="Calibri" w:cs="Calibri"/>
          <w:color w:val="000000" w:themeColor="text1"/>
          <w:sz w:val="22"/>
          <w:szCs w:val="22"/>
        </w:rPr>
        <w:t xml:space="preserve">The </w:t>
      </w:r>
      <w:r w:rsidR="00284B27">
        <w:rPr>
          <w:rFonts w:ascii="Calibri" w:hAnsi="Calibri" w:cs="Calibri"/>
          <w:color w:val="000000" w:themeColor="text1"/>
          <w:sz w:val="22"/>
          <w:szCs w:val="22"/>
        </w:rPr>
        <w:t xml:space="preserve">complementary nature of </w:t>
      </w:r>
      <w:proofErr w:type="spellStart"/>
      <w:r w:rsidR="00AE6688">
        <w:rPr>
          <w:rFonts w:ascii="Calibri" w:hAnsi="Calibri" w:cs="Calibri"/>
          <w:color w:val="000000" w:themeColor="text1"/>
          <w:sz w:val="22"/>
          <w:szCs w:val="22"/>
        </w:rPr>
        <w:t>Novotech’s</w:t>
      </w:r>
      <w:proofErr w:type="spellEnd"/>
      <w:r w:rsidR="00AE6688">
        <w:rPr>
          <w:rFonts w:ascii="Calibri" w:hAnsi="Calibri" w:cs="Calibri"/>
          <w:color w:val="000000" w:themeColor="text1"/>
          <w:sz w:val="22"/>
          <w:szCs w:val="22"/>
        </w:rPr>
        <w:t xml:space="preserve"> position in the region</w:t>
      </w:r>
      <w:r w:rsidR="00284B27">
        <w:rPr>
          <w:rFonts w:ascii="Calibri" w:hAnsi="Calibri" w:cs="Calibri"/>
          <w:color w:val="000000" w:themeColor="text1"/>
          <w:sz w:val="22"/>
          <w:szCs w:val="22"/>
        </w:rPr>
        <w:t xml:space="preserve"> and PPC’s particularly strong presence in mainland China, will be extremely attractive to current and future clients.</w:t>
      </w:r>
      <w:r w:rsidR="0054610A">
        <w:rPr>
          <w:rFonts w:ascii="Calibri" w:hAnsi="Calibri" w:cs="Calibri"/>
          <w:color w:val="000000" w:themeColor="text1"/>
          <w:sz w:val="22"/>
          <w:szCs w:val="22"/>
        </w:rPr>
        <w:t xml:space="preserve"> </w:t>
      </w:r>
      <w:r w:rsidR="00FE3B60">
        <w:rPr>
          <w:rFonts w:ascii="Calibri" w:hAnsi="Calibri" w:cs="Calibri"/>
          <w:color w:val="000000" w:themeColor="text1"/>
          <w:sz w:val="22"/>
          <w:szCs w:val="22"/>
        </w:rPr>
        <w:t>Importantly, it positions us well to meet the significant and growing biotech demand in the Asia-Pacific market.”</w:t>
      </w:r>
    </w:p>
    <w:p w14:paraId="0BFC7223" w14:textId="24ADD0FD" w:rsidR="00EF43D1" w:rsidRDefault="00FC54A2" w:rsidP="00FC54A2">
      <w:pPr>
        <w:tabs>
          <w:tab w:val="left" w:pos="2715"/>
        </w:tabs>
        <w:rPr>
          <w:rFonts w:ascii="Calibri" w:hAnsi="Calibri" w:cs="Calibri"/>
          <w:color w:val="000000" w:themeColor="text1"/>
          <w:sz w:val="22"/>
          <w:szCs w:val="22"/>
        </w:rPr>
      </w:pPr>
      <w:r>
        <w:rPr>
          <w:rFonts w:ascii="Calibri" w:hAnsi="Calibri" w:cs="Calibri"/>
          <w:color w:val="000000" w:themeColor="text1"/>
          <w:sz w:val="22"/>
          <w:szCs w:val="22"/>
        </w:rPr>
        <w:tab/>
      </w:r>
    </w:p>
    <w:p w14:paraId="5FE90AB6" w14:textId="672C6D28" w:rsidR="00B02BFA" w:rsidRDefault="00922E0D" w:rsidP="00C02498">
      <w:pPr>
        <w:rPr>
          <w:rFonts w:ascii="Calibri" w:hAnsi="Calibri" w:cs="Calibri"/>
          <w:color w:val="000000" w:themeColor="text1"/>
          <w:sz w:val="22"/>
          <w:szCs w:val="22"/>
        </w:rPr>
      </w:pPr>
      <w:r>
        <w:rPr>
          <w:rFonts w:ascii="Calibri" w:hAnsi="Calibri" w:cs="Calibri"/>
          <w:color w:val="000000" w:themeColor="text1"/>
          <w:sz w:val="22"/>
          <w:szCs w:val="22"/>
        </w:rPr>
        <w:t>Jason Zhu, PPC China, CEO added:</w:t>
      </w:r>
    </w:p>
    <w:p w14:paraId="2E64792A" w14:textId="5F890DBB" w:rsidR="00922E0D" w:rsidRPr="0009281E" w:rsidRDefault="00922E0D" w:rsidP="00C02498">
      <w:pPr>
        <w:rPr>
          <w:rFonts w:cs="Calibri"/>
          <w:color w:val="000000" w:themeColor="text1"/>
          <w:sz w:val="22"/>
          <w:szCs w:val="22"/>
        </w:rPr>
      </w:pPr>
    </w:p>
    <w:p w14:paraId="6A3F4CEA" w14:textId="29FB7EE4" w:rsidR="00CE34A6" w:rsidRPr="0009281E" w:rsidRDefault="00CE34A6" w:rsidP="00CE34A6">
      <w:pPr>
        <w:rPr>
          <w:rFonts w:eastAsia="Times New Roman" w:cs="Times New Roman"/>
          <w:sz w:val="22"/>
          <w:szCs w:val="22"/>
          <w:lang w:eastAsia="en-GB"/>
        </w:rPr>
      </w:pPr>
      <w:r w:rsidRPr="0009281E">
        <w:rPr>
          <w:rFonts w:cs="Calibri"/>
          <w:color w:val="000000" w:themeColor="text1"/>
          <w:sz w:val="22"/>
          <w:szCs w:val="22"/>
        </w:rPr>
        <w:t>“</w:t>
      </w:r>
      <w:r w:rsidR="00595C5E">
        <w:rPr>
          <w:rFonts w:eastAsia="Times New Roman" w:cs="Times New Roman"/>
          <w:color w:val="000000"/>
          <w:sz w:val="22"/>
          <w:szCs w:val="22"/>
          <w:lang w:eastAsia="en-GB"/>
        </w:rPr>
        <w:t>B</w:t>
      </w:r>
      <w:r w:rsidRPr="0009281E">
        <w:rPr>
          <w:rFonts w:eastAsia="Times New Roman" w:cs="Times New Roman"/>
          <w:color w:val="000000"/>
          <w:sz w:val="22"/>
          <w:szCs w:val="22"/>
          <w:lang w:eastAsia="en-GB"/>
        </w:rPr>
        <w:t>iotech companies in China</w:t>
      </w:r>
      <w:r w:rsidR="00BC06D1">
        <w:rPr>
          <w:rFonts w:eastAsia="Times New Roman" w:cs="Times New Roman"/>
          <w:color w:val="000000"/>
          <w:sz w:val="22"/>
          <w:szCs w:val="22"/>
          <w:lang w:eastAsia="en-GB"/>
        </w:rPr>
        <w:t xml:space="preserve"> are significantly expanding the</w:t>
      </w:r>
      <w:r w:rsidR="009938D6">
        <w:rPr>
          <w:rFonts w:eastAsia="Times New Roman" w:cs="Times New Roman"/>
          <w:color w:val="000000"/>
          <w:sz w:val="22"/>
          <w:szCs w:val="22"/>
          <w:lang w:eastAsia="en-GB"/>
        </w:rPr>
        <w:t xml:space="preserve">ir investment in Multi-Regional Clinical Trials to </w:t>
      </w:r>
      <w:r w:rsidR="002E55BF">
        <w:rPr>
          <w:rFonts w:eastAsia="Times New Roman" w:cs="Times New Roman"/>
          <w:color w:val="000000"/>
          <w:sz w:val="22"/>
          <w:szCs w:val="22"/>
          <w:lang w:eastAsia="en-GB"/>
        </w:rPr>
        <w:t>accelerate</w:t>
      </w:r>
      <w:r w:rsidR="009938D6">
        <w:rPr>
          <w:rFonts w:eastAsia="Times New Roman" w:cs="Times New Roman"/>
          <w:color w:val="000000"/>
          <w:sz w:val="22"/>
          <w:szCs w:val="22"/>
          <w:lang w:eastAsia="en-GB"/>
        </w:rPr>
        <w:t xml:space="preserve"> </w:t>
      </w:r>
      <w:r w:rsidR="000B3A6D">
        <w:rPr>
          <w:rFonts w:eastAsia="Times New Roman" w:cs="Times New Roman"/>
          <w:color w:val="000000"/>
          <w:sz w:val="22"/>
          <w:szCs w:val="22"/>
          <w:lang w:eastAsia="en-GB"/>
        </w:rPr>
        <w:t xml:space="preserve">product </w:t>
      </w:r>
      <w:r w:rsidR="009938D6">
        <w:rPr>
          <w:rFonts w:eastAsia="Times New Roman" w:cs="Times New Roman"/>
          <w:color w:val="000000"/>
          <w:sz w:val="22"/>
          <w:szCs w:val="22"/>
          <w:lang w:eastAsia="en-GB"/>
        </w:rPr>
        <w:t>development</w:t>
      </w:r>
      <w:r w:rsidR="000B3A6D">
        <w:rPr>
          <w:rFonts w:eastAsia="Times New Roman" w:cs="Times New Roman"/>
          <w:color w:val="000000"/>
          <w:sz w:val="22"/>
          <w:szCs w:val="22"/>
          <w:lang w:eastAsia="en-GB"/>
        </w:rPr>
        <w:t xml:space="preserve">. They </w:t>
      </w:r>
      <w:r w:rsidR="000263B1">
        <w:rPr>
          <w:rFonts w:eastAsia="Times New Roman" w:cs="Times New Roman"/>
          <w:color w:val="000000"/>
          <w:sz w:val="22"/>
          <w:szCs w:val="22"/>
          <w:lang w:eastAsia="en-GB"/>
        </w:rPr>
        <w:t>select PPC</w:t>
      </w:r>
      <w:r w:rsidR="007B53DC">
        <w:rPr>
          <w:rFonts w:eastAsia="Times New Roman" w:cs="Times New Roman"/>
          <w:color w:val="000000"/>
          <w:sz w:val="22"/>
          <w:szCs w:val="22"/>
          <w:lang w:eastAsia="en-GB"/>
        </w:rPr>
        <w:t xml:space="preserve"> as</w:t>
      </w:r>
      <w:r w:rsidR="009A672B">
        <w:rPr>
          <w:rFonts w:eastAsia="Times New Roman" w:cs="Times New Roman"/>
          <w:color w:val="000000"/>
          <w:sz w:val="22"/>
          <w:szCs w:val="22"/>
          <w:lang w:eastAsia="en-GB"/>
        </w:rPr>
        <w:t xml:space="preserve"> </w:t>
      </w:r>
      <w:r w:rsidR="007B53DC">
        <w:rPr>
          <w:rFonts w:eastAsia="Times New Roman" w:cs="Times New Roman"/>
          <w:color w:val="000000"/>
          <w:sz w:val="22"/>
          <w:szCs w:val="22"/>
          <w:lang w:eastAsia="en-GB"/>
        </w:rPr>
        <w:t>we are an agile partner</w:t>
      </w:r>
      <w:r w:rsidR="0087568B">
        <w:rPr>
          <w:rFonts w:eastAsia="Times New Roman" w:cs="Times New Roman"/>
          <w:color w:val="000000"/>
          <w:sz w:val="22"/>
          <w:szCs w:val="22"/>
          <w:lang w:eastAsia="en-GB"/>
        </w:rPr>
        <w:t xml:space="preserve"> focused on provid</w:t>
      </w:r>
      <w:r w:rsidR="007B53DC">
        <w:rPr>
          <w:rFonts w:eastAsia="Times New Roman" w:cs="Times New Roman"/>
          <w:color w:val="000000"/>
          <w:sz w:val="22"/>
          <w:szCs w:val="22"/>
          <w:lang w:eastAsia="en-GB"/>
        </w:rPr>
        <w:t xml:space="preserve">ing </w:t>
      </w:r>
      <w:r w:rsidR="00B7682F">
        <w:rPr>
          <w:rFonts w:eastAsia="Times New Roman" w:cs="Times New Roman"/>
          <w:color w:val="000000"/>
          <w:sz w:val="22"/>
          <w:szCs w:val="22"/>
          <w:lang w:eastAsia="en-GB"/>
        </w:rPr>
        <w:t xml:space="preserve">strong </w:t>
      </w:r>
      <w:r w:rsidRPr="0009281E">
        <w:rPr>
          <w:rFonts w:eastAsia="Times New Roman" w:cs="Times New Roman"/>
          <w:color w:val="000000"/>
          <w:sz w:val="22"/>
          <w:szCs w:val="22"/>
          <w:lang w:eastAsia="en-GB"/>
        </w:rPr>
        <w:t xml:space="preserve">medical </w:t>
      </w:r>
      <w:r w:rsidR="007B53DC">
        <w:rPr>
          <w:rFonts w:eastAsia="Times New Roman" w:cs="Times New Roman"/>
          <w:color w:val="000000"/>
          <w:sz w:val="22"/>
          <w:szCs w:val="22"/>
          <w:lang w:eastAsia="en-GB"/>
        </w:rPr>
        <w:t>and technical</w:t>
      </w:r>
      <w:r w:rsidRPr="0009281E">
        <w:rPr>
          <w:rFonts w:eastAsia="Times New Roman" w:cs="Times New Roman"/>
          <w:color w:val="000000"/>
          <w:sz w:val="22"/>
          <w:szCs w:val="22"/>
          <w:lang w:eastAsia="en-GB"/>
        </w:rPr>
        <w:t xml:space="preserve"> </w:t>
      </w:r>
      <w:r w:rsidR="000E1E90">
        <w:rPr>
          <w:rFonts w:eastAsia="Times New Roman" w:cs="Times New Roman"/>
          <w:color w:val="000000"/>
          <w:sz w:val="22"/>
          <w:szCs w:val="22"/>
          <w:lang w:eastAsia="en-GB"/>
        </w:rPr>
        <w:t xml:space="preserve">capabilities to enhance their </w:t>
      </w:r>
      <w:r w:rsidR="009A672B">
        <w:rPr>
          <w:rFonts w:eastAsia="Times New Roman" w:cs="Times New Roman"/>
          <w:color w:val="000000"/>
          <w:sz w:val="22"/>
          <w:szCs w:val="22"/>
          <w:lang w:eastAsia="en-GB"/>
        </w:rPr>
        <w:t xml:space="preserve">development </w:t>
      </w:r>
      <w:r w:rsidR="000E1E90">
        <w:rPr>
          <w:rFonts w:eastAsia="Times New Roman" w:cs="Times New Roman"/>
          <w:color w:val="000000"/>
          <w:sz w:val="22"/>
          <w:szCs w:val="22"/>
          <w:lang w:eastAsia="en-GB"/>
        </w:rPr>
        <w:t xml:space="preserve">strategy. </w:t>
      </w:r>
      <w:r w:rsidR="00906676">
        <w:rPr>
          <w:rFonts w:eastAsia="Times New Roman" w:cs="Times New Roman"/>
          <w:color w:val="000000"/>
          <w:sz w:val="22"/>
          <w:szCs w:val="22"/>
          <w:lang w:eastAsia="en-GB"/>
        </w:rPr>
        <w:t>The</w:t>
      </w:r>
      <w:r w:rsidR="00C6785E">
        <w:rPr>
          <w:rFonts w:eastAsia="Times New Roman" w:cs="Times New Roman"/>
          <w:color w:val="000000"/>
          <w:sz w:val="22"/>
          <w:szCs w:val="22"/>
          <w:lang w:eastAsia="en-GB"/>
        </w:rPr>
        <w:t xml:space="preserve"> </w:t>
      </w:r>
      <w:r w:rsidR="00A71132">
        <w:rPr>
          <w:rFonts w:eastAsia="Times New Roman" w:cs="Times New Roman"/>
          <w:color w:val="000000"/>
          <w:sz w:val="22"/>
          <w:szCs w:val="22"/>
          <w:lang w:eastAsia="en-GB"/>
        </w:rPr>
        <w:lastRenderedPageBreak/>
        <w:t>strengthening</w:t>
      </w:r>
      <w:r w:rsidR="000E1E90">
        <w:rPr>
          <w:rFonts w:eastAsia="Times New Roman" w:cs="Times New Roman"/>
          <w:color w:val="000000"/>
          <w:sz w:val="22"/>
          <w:szCs w:val="22"/>
          <w:lang w:eastAsia="en-GB"/>
        </w:rPr>
        <w:t xml:space="preserve"> </w:t>
      </w:r>
      <w:r w:rsidR="00C6785E">
        <w:rPr>
          <w:rFonts w:eastAsia="Times New Roman" w:cs="Times New Roman"/>
          <w:color w:val="000000"/>
          <w:sz w:val="22"/>
          <w:szCs w:val="22"/>
          <w:lang w:eastAsia="en-GB"/>
        </w:rPr>
        <w:t xml:space="preserve">of </w:t>
      </w:r>
      <w:r w:rsidR="00A71132">
        <w:rPr>
          <w:rFonts w:eastAsia="Times New Roman" w:cs="Times New Roman"/>
          <w:color w:val="000000"/>
          <w:sz w:val="22"/>
          <w:szCs w:val="22"/>
          <w:lang w:eastAsia="en-GB"/>
        </w:rPr>
        <w:t xml:space="preserve">the </w:t>
      </w:r>
      <w:r w:rsidRPr="0009281E">
        <w:rPr>
          <w:rFonts w:eastAsia="Times New Roman" w:cs="Times New Roman"/>
          <w:color w:val="000000"/>
          <w:sz w:val="22"/>
          <w:szCs w:val="22"/>
          <w:lang w:eastAsia="en-GB"/>
        </w:rPr>
        <w:t xml:space="preserve">partnership between PPC and </w:t>
      </w:r>
      <w:proofErr w:type="spellStart"/>
      <w:r w:rsidRPr="0009281E">
        <w:rPr>
          <w:rFonts w:eastAsia="Times New Roman" w:cs="Times New Roman"/>
          <w:color w:val="000000"/>
          <w:sz w:val="22"/>
          <w:szCs w:val="22"/>
          <w:lang w:eastAsia="en-GB"/>
        </w:rPr>
        <w:t>N</w:t>
      </w:r>
      <w:r w:rsidR="00A71132">
        <w:rPr>
          <w:rFonts w:eastAsia="Times New Roman" w:cs="Times New Roman"/>
          <w:color w:val="000000"/>
          <w:sz w:val="22"/>
          <w:szCs w:val="22"/>
          <w:lang w:eastAsia="en-GB"/>
        </w:rPr>
        <w:t>ovotech</w:t>
      </w:r>
      <w:proofErr w:type="spellEnd"/>
      <w:r w:rsidRPr="0009281E">
        <w:rPr>
          <w:rFonts w:eastAsia="Times New Roman" w:cs="Times New Roman"/>
          <w:color w:val="000000"/>
          <w:sz w:val="22"/>
          <w:szCs w:val="22"/>
          <w:lang w:eastAsia="en-GB"/>
        </w:rPr>
        <w:t xml:space="preserve"> will</w:t>
      </w:r>
      <w:r w:rsidR="000E1E90">
        <w:rPr>
          <w:rFonts w:eastAsia="Times New Roman" w:cs="Times New Roman"/>
          <w:color w:val="000000"/>
          <w:sz w:val="22"/>
          <w:szCs w:val="22"/>
          <w:lang w:eastAsia="en-GB"/>
        </w:rPr>
        <w:t xml:space="preserve"> further </w:t>
      </w:r>
      <w:r w:rsidR="00837942">
        <w:rPr>
          <w:rFonts w:eastAsia="Times New Roman" w:cs="Times New Roman"/>
          <w:color w:val="000000"/>
          <w:sz w:val="22"/>
          <w:szCs w:val="22"/>
          <w:lang w:eastAsia="en-GB"/>
        </w:rPr>
        <w:t>ex</w:t>
      </w:r>
      <w:r w:rsidR="00906676">
        <w:rPr>
          <w:rFonts w:eastAsia="Times New Roman" w:cs="Times New Roman"/>
          <w:color w:val="000000"/>
          <w:sz w:val="22"/>
          <w:szCs w:val="22"/>
          <w:lang w:eastAsia="en-GB"/>
        </w:rPr>
        <w:t>pand</w:t>
      </w:r>
      <w:r w:rsidR="0017210B">
        <w:rPr>
          <w:rFonts w:eastAsia="Times New Roman" w:cs="Times New Roman"/>
          <w:color w:val="000000"/>
          <w:sz w:val="22"/>
          <w:szCs w:val="22"/>
          <w:lang w:eastAsia="en-GB"/>
        </w:rPr>
        <w:t xml:space="preserve"> our ability to offer our customers </w:t>
      </w:r>
      <w:r w:rsidR="00906676">
        <w:rPr>
          <w:rFonts w:eastAsia="Times New Roman" w:cs="Times New Roman"/>
          <w:color w:val="000000"/>
          <w:sz w:val="22"/>
          <w:szCs w:val="22"/>
          <w:lang w:eastAsia="en-GB"/>
        </w:rPr>
        <w:t>a flexible and effective</w:t>
      </w:r>
      <w:r w:rsidRPr="0009281E">
        <w:rPr>
          <w:rFonts w:eastAsia="Times New Roman" w:cs="Times New Roman"/>
          <w:color w:val="000000"/>
          <w:sz w:val="22"/>
          <w:szCs w:val="22"/>
          <w:lang w:eastAsia="en-GB"/>
        </w:rPr>
        <w:t xml:space="preserve"> </w:t>
      </w:r>
      <w:r w:rsidR="00712899">
        <w:rPr>
          <w:rFonts w:eastAsia="Times New Roman" w:cs="Times New Roman"/>
          <w:color w:val="000000"/>
          <w:sz w:val="22"/>
          <w:szCs w:val="22"/>
          <w:lang w:eastAsia="en-GB"/>
        </w:rPr>
        <w:t xml:space="preserve">clinical development </w:t>
      </w:r>
      <w:r w:rsidRPr="0009281E">
        <w:rPr>
          <w:rFonts w:eastAsia="Times New Roman" w:cs="Times New Roman"/>
          <w:color w:val="000000"/>
          <w:sz w:val="22"/>
          <w:szCs w:val="22"/>
          <w:lang w:eastAsia="en-GB"/>
        </w:rPr>
        <w:t>solution</w:t>
      </w:r>
      <w:r w:rsidR="00F27CEA">
        <w:rPr>
          <w:rFonts w:eastAsia="Times New Roman" w:cs="Times New Roman"/>
          <w:color w:val="000000"/>
          <w:sz w:val="22"/>
          <w:szCs w:val="22"/>
          <w:lang w:eastAsia="en-GB"/>
        </w:rPr>
        <w:t>.</w:t>
      </w:r>
      <w:r w:rsidR="0017210B">
        <w:rPr>
          <w:rFonts w:eastAsia="Times New Roman" w:cs="Times New Roman"/>
          <w:color w:val="000000"/>
          <w:sz w:val="22"/>
          <w:szCs w:val="22"/>
          <w:lang w:eastAsia="en-GB"/>
        </w:rPr>
        <w:t>”</w:t>
      </w:r>
      <w:r w:rsidRPr="0009281E">
        <w:rPr>
          <w:rFonts w:eastAsia="Times New Roman" w:cs="Times New Roman" w:hint="eastAsia"/>
          <w:color w:val="000000"/>
          <w:sz w:val="22"/>
          <w:szCs w:val="22"/>
          <w:lang w:eastAsia="en-GB"/>
        </w:rPr>
        <w:t> </w:t>
      </w:r>
    </w:p>
    <w:p w14:paraId="27E0B818" w14:textId="1976AEB6" w:rsidR="00922E0D" w:rsidRPr="0009281E" w:rsidRDefault="00922E0D" w:rsidP="00C02498">
      <w:pPr>
        <w:rPr>
          <w:rFonts w:cs="Calibri"/>
          <w:color w:val="000000" w:themeColor="text1"/>
          <w:sz w:val="22"/>
          <w:szCs w:val="22"/>
        </w:rPr>
      </w:pPr>
    </w:p>
    <w:p w14:paraId="3D71C8E9" w14:textId="77777777" w:rsidR="00B02BFA" w:rsidRDefault="00B02BFA" w:rsidP="00C02498">
      <w:pPr>
        <w:rPr>
          <w:rFonts w:ascii="Calibri" w:hAnsi="Calibri" w:cs="Calibri"/>
          <w:color w:val="000000" w:themeColor="text1"/>
          <w:sz w:val="22"/>
          <w:szCs w:val="22"/>
        </w:rPr>
      </w:pPr>
    </w:p>
    <w:p w14:paraId="70A583D3" w14:textId="77A6443B" w:rsidR="00EF43D1" w:rsidRDefault="00EF43D1" w:rsidP="00C02498">
      <w:pPr>
        <w:rPr>
          <w:rFonts w:ascii="Calibri" w:hAnsi="Calibri" w:cs="Calibri"/>
          <w:color w:val="000000" w:themeColor="text1"/>
          <w:sz w:val="22"/>
          <w:szCs w:val="22"/>
        </w:rPr>
      </w:pPr>
      <w:r>
        <w:rPr>
          <w:rFonts w:ascii="Calibri" w:hAnsi="Calibri" w:cs="Calibri"/>
          <w:color w:val="000000" w:themeColor="text1"/>
          <w:sz w:val="22"/>
          <w:szCs w:val="22"/>
        </w:rPr>
        <w:t>END</w:t>
      </w:r>
    </w:p>
    <w:p w14:paraId="27096B20" w14:textId="2F5F82D1" w:rsidR="00FD3DFA" w:rsidRDefault="00FD3DFA" w:rsidP="00C02498">
      <w:pPr>
        <w:rPr>
          <w:rFonts w:ascii="Calibri" w:hAnsi="Calibri" w:cs="Calibri"/>
          <w:color w:val="000000" w:themeColor="text1"/>
          <w:sz w:val="22"/>
          <w:szCs w:val="22"/>
        </w:rPr>
      </w:pPr>
    </w:p>
    <w:p w14:paraId="4B856F3A" w14:textId="3A61A73C" w:rsidR="00FD3DFA" w:rsidRPr="00845D50" w:rsidRDefault="00430273" w:rsidP="00FD3DFA">
      <w:pPr>
        <w:rPr>
          <w:b/>
          <w:bCs/>
          <w:sz w:val="22"/>
          <w:szCs w:val="22"/>
        </w:rPr>
      </w:pPr>
      <w:r w:rsidRPr="00845D50">
        <w:rPr>
          <w:b/>
          <w:bCs/>
          <w:sz w:val="22"/>
          <w:szCs w:val="22"/>
        </w:rPr>
        <w:t>Media enquiries</w:t>
      </w:r>
    </w:p>
    <w:p w14:paraId="57A9A6CC" w14:textId="07783FBE" w:rsidR="00BD76DD" w:rsidRPr="00845D50" w:rsidRDefault="00BD76DD" w:rsidP="00FD3DFA">
      <w:pPr>
        <w:rPr>
          <w:b/>
          <w:bCs/>
          <w:sz w:val="22"/>
          <w:szCs w:val="22"/>
        </w:rPr>
      </w:pPr>
    </w:p>
    <w:p w14:paraId="2B3210B3" w14:textId="3EE8E0B1" w:rsidR="00BD76DD" w:rsidRPr="00845D50" w:rsidRDefault="00BD76DD" w:rsidP="00FD3DFA">
      <w:pPr>
        <w:rPr>
          <w:b/>
          <w:bCs/>
          <w:sz w:val="22"/>
          <w:szCs w:val="22"/>
        </w:rPr>
      </w:pPr>
      <w:proofErr w:type="spellStart"/>
      <w:r w:rsidRPr="00845D50">
        <w:rPr>
          <w:b/>
          <w:bCs/>
          <w:sz w:val="22"/>
          <w:szCs w:val="22"/>
        </w:rPr>
        <w:t>Novotech</w:t>
      </w:r>
      <w:proofErr w:type="spellEnd"/>
    </w:p>
    <w:p w14:paraId="5908E70D" w14:textId="77777777" w:rsidR="00FD3DFA" w:rsidRPr="00845D50" w:rsidRDefault="00FD3DFA" w:rsidP="00FD3DFA">
      <w:pPr>
        <w:rPr>
          <w:sz w:val="22"/>
          <w:szCs w:val="22"/>
        </w:rPr>
      </w:pPr>
      <w:r w:rsidRPr="00845D50">
        <w:rPr>
          <w:sz w:val="22"/>
          <w:szCs w:val="22"/>
        </w:rPr>
        <w:t>Susan Fitzpatrick-Napier </w:t>
      </w:r>
    </w:p>
    <w:p w14:paraId="4594B58A" w14:textId="77777777" w:rsidR="00FD3DFA" w:rsidRPr="00845D50" w:rsidRDefault="003D114D" w:rsidP="00FD3DFA">
      <w:pPr>
        <w:rPr>
          <w:sz w:val="22"/>
          <w:szCs w:val="22"/>
        </w:rPr>
      </w:pPr>
      <w:hyperlink r:id="rId11" w:history="1">
        <w:r w:rsidR="00FD3DFA" w:rsidRPr="00845D50">
          <w:rPr>
            <w:rStyle w:val="Hyperlink"/>
            <w:sz w:val="22"/>
            <w:szCs w:val="22"/>
          </w:rPr>
          <w:t>communications@novotech-cro.com</w:t>
        </w:r>
      </w:hyperlink>
    </w:p>
    <w:p w14:paraId="75054479" w14:textId="77777777" w:rsidR="00FD3DFA" w:rsidRPr="00845D50" w:rsidRDefault="00FD3DFA" w:rsidP="00FD3DFA">
      <w:pPr>
        <w:rPr>
          <w:sz w:val="22"/>
          <w:szCs w:val="22"/>
        </w:rPr>
      </w:pPr>
      <w:r w:rsidRPr="00845D50">
        <w:rPr>
          <w:sz w:val="22"/>
          <w:szCs w:val="22"/>
        </w:rPr>
        <w:t>AU: +61 2 8218 2144 </w:t>
      </w:r>
    </w:p>
    <w:p w14:paraId="6620D1E3" w14:textId="77777777" w:rsidR="00FD3DFA" w:rsidRPr="00845D50" w:rsidRDefault="00FD3DFA" w:rsidP="00FD3DFA">
      <w:pPr>
        <w:rPr>
          <w:sz w:val="22"/>
          <w:szCs w:val="22"/>
        </w:rPr>
      </w:pPr>
      <w:r w:rsidRPr="00845D50">
        <w:rPr>
          <w:sz w:val="22"/>
          <w:szCs w:val="22"/>
        </w:rPr>
        <w:t>USA: +1 415 951 3228</w:t>
      </w:r>
      <w:r w:rsidRPr="00845D50">
        <w:rPr>
          <w:sz w:val="22"/>
          <w:szCs w:val="22"/>
        </w:rPr>
        <w:softHyphen/>
      </w:r>
      <w:r w:rsidRPr="00845D50">
        <w:rPr>
          <w:sz w:val="22"/>
          <w:szCs w:val="22"/>
        </w:rPr>
        <w:softHyphen/>
      </w:r>
      <w:r w:rsidRPr="00845D50">
        <w:rPr>
          <w:sz w:val="22"/>
          <w:szCs w:val="22"/>
        </w:rPr>
        <w:softHyphen/>
      </w:r>
      <w:r w:rsidRPr="00845D50">
        <w:rPr>
          <w:sz w:val="22"/>
          <w:szCs w:val="22"/>
        </w:rPr>
        <w:softHyphen/>
      </w:r>
      <w:r w:rsidRPr="00845D50">
        <w:rPr>
          <w:sz w:val="22"/>
          <w:szCs w:val="22"/>
        </w:rPr>
        <w:softHyphen/>
      </w:r>
      <w:r w:rsidRPr="00845D50">
        <w:rPr>
          <w:sz w:val="22"/>
          <w:szCs w:val="22"/>
        </w:rPr>
        <w:softHyphen/>
      </w:r>
      <w:r w:rsidRPr="00845D50">
        <w:rPr>
          <w:sz w:val="22"/>
          <w:szCs w:val="22"/>
        </w:rPr>
        <w:softHyphen/>
      </w:r>
    </w:p>
    <w:p w14:paraId="1420DC17" w14:textId="77777777" w:rsidR="00FD3DFA" w:rsidRPr="00845D50" w:rsidRDefault="00FD3DFA" w:rsidP="00FD3DFA">
      <w:pPr>
        <w:rPr>
          <w:sz w:val="22"/>
          <w:szCs w:val="22"/>
        </w:rPr>
      </w:pPr>
      <w:r w:rsidRPr="00845D50">
        <w:rPr>
          <w:sz w:val="22"/>
          <w:szCs w:val="22"/>
        </w:rPr>
        <w:t>Asia: +65 3159 3427</w:t>
      </w:r>
    </w:p>
    <w:p w14:paraId="7E2A5DBE" w14:textId="73B99BF9" w:rsidR="00FD3DFA" w:rsidRDefault="00FD3DFA" w:rsidP="00C02498">
      <w:pPr>
        <w:rPr>
          <w:rFonts w:ascii="Calibri" w:hAnsi="Calibri" w:cs="Calibri"/>
          <w:color w:val="000000" w:themeColor="text1"/>
          <w:sz w:val="22"/>
          <w:szCs w:val="22"/>
        </w:rPr>
      </w:pPr>
    </w:p>
    <w:p w14:paraId="32A19D1D" w14:textId="1A8024E6" w:rsidR="00D43101" w:rsidRPr="00E90B80" w:rsidRDefault="00D43101" w:rsidP="00C02498">
      <w:pPr>
        <w:rPr>
          <w:rFonts w:ascii="Calibri" w:hAnsi="Calibri" w:cs="Calibri"/>
          <w:b/>
          <w:bCs/>
          <w:color w:val="000000" w:themeColor="text1"/>
          <w:sz w:val="22"/>
          <w:szCs w:val="22"/>
        </w:rPr>
      </w:pPr>
      <w:r w:rsidRPr="00E90B80">
        <w:rPr>
          <w:rFonts w:ascii="Calibri" w:hAnsi="Calibri" w:cs="Calibri"/>
          <w:b/>
          <w:bCs/>
          <w:color w:val="000000" w:themeColor="text1"/>
          <w:sz w:val="22"/>
          <w:szCs w:val="22"/>
        </w:rPr>
        <w:t>TPG</w:t>
      </w:r>
    </w:p>
    <w:p w14:paraId="4EF15E55" w14:textId="4FCE7EDA" w:rsidR="00435628" w:rsidRDefault="00D43101" w:rsidP="00435628">
      <w:pPr>
        <w:rPr>
          <w:rFonts w:ascii="Calibri" w:hAnsi="Calibri" w:cs="Calibri"/>
          <w:color w:val="000000" w:themeColor="text1"/>
          <w:sz w:val="22"/>
          <w:szCs w:val="22"/>
        </w:rPr>
      </w:pPr>
      <w:r>
        <w:rPr>
          <w:rFonts w:ascii="Calibri" w:hAnsi="Calibri" w:cs="Calibri"/>
          <w:color w:val="000000" w:themeColor="text1"/>
          <w:sz w:val="22"/>
          <w:szCs w:val="22"/>
        </w:rPr>
        <w:t>Liz Liang</w:t>
      </w:r>
    </w:p>
    <w:p w14:paraId="3FE5451E" w14:textId="54AACFC1" w:rsidR="00D43101" w:rsidRDefault="003D114D" w:rsidP="00435628">
      <w:pPr>
        <w:rPr>
          <w:rFonts w:ascii="Calibri" w:hAnsi="Calibri" w:cs="Calibri"/>
          <w:color w:val="000000" w:themeColor="text1"/>
          <w:sz w:val="22"/>
          <w:szCs w:val="22"/>
        </w:rPr>
      </w:pPr>
      <w:hyperlink r:id="rId12" w:history="1">
        <w:r w:rsidR="00D43101" w:rsidRPr="00BA7497">
          <w:rPr>
            <w:rStyle w:val="Hyperlink"/>
            <w:rFonts w:ascii="Calibri" w:hAnsi="Calibri" w:cs="Calibri"/>
            <w:sz w:val="22"/>
            <w:szCs w:val="22"/>
          </w:rPr>
          <w:t>eliang@brunswickgroup.com</w:t>
        </w:r>
      </w:hyperlink>
    </w:p>
    <w:p w14:paraId="2C580230" w14:textId="4CED28AB" w:rsidR="00D43101" w:rsidRDefault="00D43101" w:rsidP="00435628">
      <w:pPr>
        <w:rPr>
          <w:rFonts w:ascii="Calibri" w:hAnsi="Calibri" w:cs="Calibri"/>
          <w:color w:val="000000" w:themeColor="text1"/>
          <w:sz w:val="22"/>
          <w:szCs w:val="22"/>
        </w:rPr>
      </w:pPr>
      <w:r>
        <w:rPr>
          <w:rFonts w:ascii="Calibri" w:hAnsi="Calibri" w:cs="Calibri"/>
          <w:color w:val="000000" w:themeColor="text1"/>
          <w:sz w:val="22"/>
          <w:szCs w:val="22"/>
        </w:rPr>
        <w:t>+852 9015 6858</w:t>
      </w:r>
    </w:p>
    <w:p w14:paraId="27CDBE89" w14:textId="1B13467E" w:rsidR="00A71320" w:rsidRPr="00E90B80" w:rsidRDefault="00A71320" w:rsidP="00435628">
      <w:pPr>
        <w:rPr>
          <w:rFonts w:ascii="Calibri" w:hAnsi="Calibri" w:cs="Calibri"/>
          <w:b/>
          <w:bCs/>
          <w:color w:val="000000" w:themeColor="text1"/>
          <w:sz w:val="22"/>
          <w:szCs w:val="22"/>
        </w:rPr>
      </w:pPr>
    </w:p>
    <w:p w14:paraId="79A7CFF5" w14:textId="77777777" w:rsidR="00A71320" w:rsidRPr="00E90B80" w:rsidRDefault="00A71320" w:rsidP="00E90B80">
      <w:pPr>
        <w:rPr>
          <w:rFonts w:ascii="Calibri" w:hAnsi="Calibri" w:cs="Calibri"/>
          <w:b/>
          <w:bCs/>
          <w:color w:val="000000" w:themeColor="text1"/>
          <w:sz w:val="22"/>
          <w:szCs w:val="22"/>
        </w:rPr>
      </w:pPr>
      <w:r w:rsidRPr="00E90B80">
        <w:rPr>
          <w:rFonts w:ascii="Calibri" w:hAnsi="Calibri" w:cs="Calibri"/>
          <w:b/>
          <w:bCs/>
          <w:color w:val="000000" w:themeColor="text1"/>
          <w:sz w:val="22"/>
          <w:szCs w:val="22"/>
        </w:rPr>
        <w:t>PPC</w:t>
      </w:r>
      <w:bookmarkStart w:id="0" w:name="_GoBack"/>
      <w:bookmarkEnd w:id="0"/>
    </w:p>
    <w:p w14:paraId="35E1EBC8" w14:textId="3DFE8F95" w:rsidR="00A71320" w:rsidRDefault="000E23EF" w:rsidP="00E90B80">
      <w:pPr>
        <w:rPr>
          <w:rFonts w:ascii="Calibri" w:hAnsi="Calibri" w:cs="Calibri"/>
          <w:color w:val="000000" w:themeColor="text1"/>
          <w:sz w:val="22"/>
          <w:szCs w:val="22"/>
        </w:rPr>
      </w:pPr>
      <w:r>
        <w:rPr>
          <w:rFonts w:ascii="Calibri" w:hAnsi="Calibri" w:cs="Calibri"/>
          <w:color w:val="000000" w:themeColor="text1"/>
          <w:sz w:val="22"/>
          <w:szCs w:val="22"/>
        </w:rPr>
        <w:t>Nika Shen</w:t>
      </w:r>
    </w:p>
    <w:p w14:paraId="69D71F78" w14:textId="07E5DF55" w:rsidR="000E23EF" w:rsidRDefault="000E23EF" w:rsidP="00E90B80">
      <w:pPr>
        <w:rPr>
          <w:rFonts w:ascii="Calibri" w:hAnsi="Calibri" w:cs="Calibri"/>
          <w:color w:val="000000" w:themeColor="text1"/>
          <w:sz w:val="22"/>
          <w:szCs w:val="22"/>
        </w:rPr>
      </w:pPr>
      <w:hyperlink r:id="rId13" w:history="1">
        <w:r w:rsidRPr="003B5E0D">
          <w:rPr>
            <w:rStyle w:val="Hyperlink"/>
            <w:rFonts w:ascii="Calibri" w:hAnsi="Calibri" w:cs="Calibri"/>
            <w:sz w:val="22"/>
            <w:szCs w:val="22"/>
          </w:rPr>
          <w:t>Nika.shen@ppccro.com</w:t>
        </w:r>
      </w:hyperlink>
    </w:p>
    <w:p w14:paraId="4D841681" w14:textId="2C954CFE" w:rsidR="00A71320" w:rsidRPr="003D114D" w:rsidRDefault="000E23EF" w:rsidP="00435628">
      <w:pPr>
        <w:rPr>
          <w:rFonts w:ascii="Times New Roman" w:eastAsia="Times New Roman" w:hAnsi="Times New Roman" w:cs="Times New Roman"/>
          <w:lang w:eastAsia="en-GB"/>
        </w:rPr>
      </w:pPr>
      <w:r>
        <w:rPr>
          <w:rFonts w:ascii="Calibri" w:hAnsi="Calibri" w:cs="Calibri"/>
          <w:color w:val="000000" w:themeColor="text1"/>
          <w:sz w:val="22"/>
          <w:szCs w:val="22"/>
        </w:rPr>
        <w:t>+</w:t>
      </w:r>
      <w:r w:rsidR="003D114D">
        <w:rPr>
          <w:rFonts w:ascii="Calibri" w:hAnsi="Calibri" w:cs="Calibri"/>
          <w:color w:val="000000" w:themeColor="text1"/>
          <w:sz w:val="22"/>
          <w:szCs w:val="22"/>
        </w:rPr>
        <w:t>86</w:t>
      </w:r>
      <w:r w:rsidR="003D114D" w:rsidRPr="003D114D">
        <w:rPr>
          <w:rFonts w:ascii="Calibri" w:eastAsia="Times New Roman" w:hAnsi="Calibri" w:cs="Calibri"/>
          <w:color w:val="000000"/>
          <w:sz w:val="22"/>
          <w:szCs w:val="22"/>
          <w:lang w:eastAsia="en-GB"/>
        </w:rPr>
        <w:t>21 53687600</w:t>
      </w:r>
    </w:p>
    <w:p w14:paraId="0A51A807" w14:textId="77777777" w:rsidR="00A71320" w:rsidRPr="00435628" w:rsidRDefault="00A71320" w:rsidP="00435628">
      <w:pPr>
        <w:rPr>
          <w:rFonts w:ascii="Calibri" w:hAnsi="Calibri" w:cs="Calibri"/>
          <w:color w:val="000000" w:themeColor="text1"/>
          <w:sz w:val="22"/>
          <w:szCs w:val="22"/>
        </w:rPr>
      </w:pPr>
    </w:p>
    <w:p w14:paraId="130D6913" w14:textId="3EE7E55D" w:rsidR="00435628" w:rsidRPr="00435628" w:rsidRDefault="00435628" w:rsidP="00435628">
      <w:pPr>
        <w:rPr>
          <w:rFonts w:ascii="Calibri" w:hAnsi="Calibri" w:cs="Calibri"/>
          <w:b/>
          <w:bCs/>
          <w:color w:val="000000" w:themeColor="text1"/>
          <w:sz w:val="22"/>
          <w:szCs w:val="22"/>
        </w:rPr>
      </w:pPr>
      <w:r w:rsidRPr="00435628">
        <w:rPr>
          <w:rFonts w:ascii="Calibri" w:hAnsi="Calibri" w:cs="Calibri"/>
          <w:b/>
          <w:bCs/>
          <w:color w:val="000000" w:themeColor="text1"/>
          <w:sz w:val="22"/>
          <w:szCs w:val="22"/>
        </w:rPr>
        <w:t xml:space="preserve">About </w:t>
      </w:r>
      <w:proofErr w:type="spellStart"/>
      <w:r w:rsidRPr="00435628">
        <w:rPr>
          <w:rFonts w:ascii="Calibri" w:hAnsi="Calibri" w:cs="Calibri"/>
          <w:b/>
          <w:bCs/>
          <w:color w:val="000000" w:themeColor="text1"/>
          <w:sz w:val="22"/>
          <w:szCs w:val="22"/>
        </w:rPr>
        <w:t>Novotech</w:t>
      </w:r>
      <w:proofErr w:type="spellEnd"/>
    </w:p>
    <w:p w14:paraId="62FE3D50" w14:textId="652CEC19" w:rsidR="004728FD" w:rsidRPr="00BC4809" w:rsidRDefault="003D114D" w:rsidP="004728FD">
      <w:pPr>
        <w:rPr>
          <w:rFonts w:ascii="Calibri" w:hAnsi="Calibri" w:cs="Calibri"/>
          <w:sz w:val="22"/>
          <w:szCs w:val="22"/>
        </w:rPr>
      </w:pPr>
      <w:hyperlink r:id="rId14" w:tgtFrame="_blank" w:history="1">
        <w:r w:rsidR="004728FD" w:rsidRPr="00BC4809">
          <w:rPr>
            <w:rStyle w:val="Hyperlink"/>
            <w:rFonts w:ascii="Calibri" w:hAnsi="Calibri" w:cs="Calibri"/>
            <w:iCs/>
            <w:sz w:val="22"/>
            <w:szCs w:val="22"/>
          </w:rPr>
          <w:t>https://novotech-cro.com/welcome</w:t>
        </w:r>
      </w:hyperlink>
      <w:r w:rsidR="004728FD" w:rsidRPr="00BC4809">
        <w:rPr>
          <w:rFonts w:ascii="Calibri" w:hAnsi="Calibri" w:cs="Calibri"/>
          <w:sz w:val="22"/>
          <w:szCs w:val="22"/>
        </w:rPr>
        <w:br/>
      </w:r>
      <w:proofErr w:type="spellStart"/>
      <w:r w:rsidR="004728FD" w:rsidRPr="00BC4809">
        <w:rPr>
          <w:rFonts w:ascii="Calibri" w:hAnsi="Calibri" w:cs="Calibri"/>
          <w:sz w:val="22"/>
          <w:szCs w:val="22"/>
        </w:rPr>
        <w:t>Novotech</w:t>
      </w:r>
      <w:proofErr w:type="spellEnd"/>
      <w:r w:rsidR="004728FD" w:rsidRPr="00BC4809">
        <w:rPr>
          <w:rFonts w:ascii="Calibri" w:hAnsi="Calibri" w:cs="Calibri"/>
          <w:sz w:val="22"/>
          <w:szCs w:val="22"/>
        </w:rPr>
        <w:t xml:space="preserve">, awarded the Frost &amp; Sullivan Asia-Pacific Biotech CRO of the year for the past 5 years, is internationally recognized as the leading Asia-Pacific full-service CRO. Established more than 20 years ago and with its headquarters in Sydney, Australia, </w:t>
      </w:r>
      <w:proofErr w:type="spellStart"/>
      <w:r w:rsidR="004728FD" w:rsidRPr="00BC4809">
        <w:rPr>
          <w:rFonts w:ascii="Calibri" w:hAnsi="Calibri" w:cs="Calibri"/>
          <w:sz w:val="22"/>
          <w:szCs w:val="22"/>
        </w:rPr>
        <w:t>Novotech</w:t>
      </w:r>
      <w:proofErr w:type="spellEnd"/>
      <w:r w:rsidR="004728FD" w:rsidRPr="00BC4809">
        <w:rPr>
          <w:rFonts w:ascii="Calibri" w:hAnsi="Calibri" w:cs="Calibri"/>
          <w:sz w:val="22"/>
          <w:szCs w:val="22"/>
        </w:rPr>
        <w:t xml:space="preserve"> now has 13 offices across 1</w:t>
      </w:r>
      <w:r w:rsidR="00735C8D" w:rsidRPr="00BC4809">
        <w:rPr>
          <w:rFonts w:ascii="Calibri" w:hAnsi="Calibri" w:cs="Calibri"/>
          <w:sz w:val="22"/>
          <w:szCs w:val="22"/>
        </w:rPr>
        <w:t xml:space="preserve">1 countries in the Asia </w:t>
      </w:r>
      <w:r w:rsidR="004728FD" w:rsidRPr="00BC4809">
        <w:rPr>
          <w:rFonts w:ascii="Calibri" w:hAnsi="Calibri" w:cs="Calibri"/>
          <w:sz w:val="22"/>
          <w:szCs w:val="22"/>
        </w:rPr>
        <w:t>Pacific and 3 client-facing offices in North America.</w:t>
      </w:r>
    </w:p>
    <w:p w14:paraId="14CAD9A2" w14:textId="77777777" w:rsidR="004728FD" w:rsidRPr="00BC4809" w:rsidRDefault="004728FD" w:rsidP="004728FD">
      <w:pPr>
        <w:rPr>
          <w:rFonts w:ascii="Calibri" w:hAnsi="Calibri" w:cs="Calibri"/>
          <w:sz w:val="22"/>
          <w:szCs w:val="22"/>
        </w:rPr>
      </w:pPr>
    </w:p>
    <w:p w14:paraId="60EF92A3" w14:textId="0FBD402D" w:rsidR="004728FD" w:rsidRPr="00BC4809" w:rsidRDefault="004728FD" w:rsidP="004728FD">
      <w:pPr>
        <w:rPr>
          <w:rFonts w:ascii="Calibri" w:hAnsi="Calibri" w:cs="Calibri"/>
          <w:sz w:val="22"/>
          <w:szCs w:val="22"/>
        </w:rPr>
      </w:pPr>
      <w:proofErr w:type="spellStart"/>
      <w:r w:rsidRPr="00BC4809">
        <w:rPr>
          <w:rFonts w:ascii="Calibri" w:hAnsi="Calibri" w:cs="Calibri"/>
          <w:sz w:val="22"/>
          <w:szCs w:val="22"/>
        </w:rPr>
        <w:t>Novotech</w:t>
      </w:r>
      <w:proofErr w:type="spellEnd"/>
      <w:r w:rsidRPr="00BC4809">
        <w:rPr>
          <w:rFonts w:ascii="Calibri" w:hAnsi="Calibri" w:cs="Calibri"/>
          <w:sz w:val="22"/>
          <w:szCs w:val="22"/>
        </w:rPr>
        <w:t xml:space="preserve"> has been instrumental in the success of hundreds of Phase I - IV clinical trials in the region. </w:t>
      </w:r>
      <w:r w:rsidRPr="00BC4809">
        <w:rPr>
          <w:rFonts w:ascii="Calibri" w:hAnsi="Calibri" w:cs="Calibri"/>
          <w:sz w:val="22"/>
          <w:szCs w:val="22"/>
        </w:rPr>
        <w:br/>
      </w:r>
    </w:p>
    <w:p w14:paraId="1C82B55D" w14:textId="029AD61C" w:rsidR="00435628" w:rsidRPr="00BC4809" w:rsidRDefault="004728FD" w:rsidP="00435628">
      <w:pPr>
        <w:rPr>
          <w:rFonts w:ascii="Calibri" w:hAnsi="Calibri" w:cs="Calibri"/>
          <w:color w:val="000000" w:themeColor="text1"/>
          <w:sz w:val="22"/>
          <w:szCs w:val="22"/>
        </w:rPr>
      </w:pPr>
      <w:proofErr w:type="spellStart"/>
      <w:r w:rsidRPr="00BC4809">
        <w:rPr>
          <w:rFonts w:ascii="Calibri" w:hAnsi="Calibri" w:cs="Calibri"/>
          <w:sz w:val="22"/>
          <w:szCs w:val="22"/>
        </w:rPr>
        <w:t>Novotech</w:t>
      </w:r>
      <w:proofErr w:type="spellEnd"/>
      <w:r w:rsidRPr="00BC4809">
        <w:rPr>
          <w:rFonts w:ascii="Calibri" w:hAnsi="Calibri" w:cs="Calibri"/>
          <w:sz w:val="22"/>
          <w:szCs w:val="22"/>
        </w:rPr>
        <w:t xml:space="preserve"> provides clinical development services across all clinical trial phases and therapeutic areas </w:t>
      </w:r>
      <w:proofErr w:type="gramStart"/>
      <w:r w:rsidRPr="00BC4809">
        <w:rPr>
          <w:rFonts w:ascii="Calibri" w:hAnsi="Calibri" w:cs="Calibri"/>
          <w:sz w:val="22"/>
          <w:szCs w:val="22"/>
        </w:rPr>
        <w:t>including:</w:t>
      </w:r>
      <w:proofErr w:type="gramEnd"/>
      <w:r w:rsidRPr="00BC4809">
        <w:rPr>
          <w:rFonts w:ascii="Calibri" w:hAnsi="Calibri" w:cs="Calibri"/>
          <w:sz w:val="22"/>
          <w:szCs w:val="22"/>
        </w:rPr>
        <w:t xml:space="preserve"> feasibility assessments; ethics committee and regulatory submissions, data management, statistical analysis, safety services, central lab services, report write-up to ICH requirements, project and vendor management. </w:t>
      </w:r>
    </w:p>
    <w:p w14:paraId="20F6CCF7" w14:textId="3721F1C7" w:rsidR="00435628" w:rsidRPr="00435628" w:rsidRDefault="00435628" w:rsidP="00435628">
      <w:pPr>
        <w:rPr>
          <w:rFonts w:ascii="Calibri" w:hAnsi="Calibri" w:cs="Calibri"/>
          <w:color w:val="000000" w:themeColor="text1"/>
          <w:sz w:val="22"/>
          <w:szCs w:val="22"/>
        </w:rPr>
      </w:pPr>
    </w:p>
    <w:p w14:paraId="2C45352A" w14:textId="0EDCD716" w:rsidR="00435628" w:rsidRPr="00435628" w:rsidRDefault="00435628" w:rsidP="00435628">
      <w:pPr>
        <w:rPr>
          <w:rFonts w:ascii="Calibri" w:hAnsi="Calibri" w:cs="Calibri"/>
          <w:b/>
          <w:bCs/>
          <w:color w:val="000000" w:themeColor="text1"/>
          <w:sz w:val="22"/>
          <w:szCs w:val="22"/>
        </w:rPr>
      </w:pPr>
      <w:r w:rsidRPr="00435628">
        <w:rPr>
          <w:rFonts w:ascii="Calibri" w:hAnsi="Calibri" w:cs="Calibri"/>
          <w:b/>
          <w:bCs/>
          <w:color w:val="000000" w:themeColor="text1"/>
          <w:sz w:val="22"/>
          <w:szCs w:val="22"/>
        </w:rPr>
        <w:t>About PPC</w:t>
      </w:r>
    </w:p>
    <w:p w14:paraId="1119BA2B" w14:textId="77777777" w:rsidR="00583D56" w:rsidRPr="00583D56" w:rsidRDefault="003D114D" w:rsidP="00583D56">
      <w:pPr>
        <w:rPr>
          <w:rStyle w:val="Hyperlink"/>
          <w:rFonts w:ascii="Calibri" w:hAnsi="Calibri" w:cs="Calibri"/>
          <w:iCs/>
          <w:sz w:val="22"/>
          <w:szCs w:val="22"/>
        </w:rPr>
      </w:pPr>
      <w:hyperlink r:id="rId15" w:history="1">
        <w:r w:rsidR="00583D56" w:rsidRPr="00583D56">
          <w:rPr>
            <w:rStyle w:val="Hyperlink"/>
            <w:rFonts w:ascii="Calibri" w:hAnsi="Calibri" w:cs="Calibri"/>
            <w:iCs/>
            <w:sz w:val="22"/>
            <w:szCs w:val="22"/>
          </w:rPr>
          <w:t>https://www</w:t>
        </w:r>
      </w:hyperlink>
      <w:r w:rsidR="00583D56" w:rsidRPr="00583D56">
        <w:rPr>
          <w:rStyle w:val="Hyperlink"/>
          <w:rFonts w:ascii="Calibri" w:hAnsi="Calibri" w:cs="Calibri"/>
          <w:iCs/>
        </w:rPr>
        <w:t>.ppccro.com</w:t>
      </w:r>
    </w:p>
    <w:p w14:paraId="2307AC89" w14:textId="77777777" w:rsidR="00583D56" w:rsidRDefault="00583D56" w:rsidP="00583D56">
      <w:r>
        <w:rPr>
          <w:color w:val="000000"/>
          <w:sz w:val="22"/>
          <w:szCs w:val="22"/>
        </w:rPr>
        <w:t>PPC Group, a North Asia based full-service CRO founded in 1997, offering a broad range of clinical research services, laboratory and site management services. PPC group has over 600 employees, with headquarters</w:t>
      </w:r>
      <w:r>
        <w:rPr>
          <w:rStyle w:val="apple-converted-space"/>
          <w:color w:val="000000"/>
          <w:sz w:val="22"/>
          <w:szCs w:val="22"/>
        </w:rPr>
        <w:t> </w:t>
      </w:r>
      <w:r>
        <w:rPr>
          <w:color w:val="000000"/>
          <w:sz w:val="22"/>
          <w:szCs w:val="22"/>
        </w:rPr>
        <w:t>in Shanghai. PPC Group have staff located in 20 cities, operating 11 offices across mainland China, Taiwan, Japan and South Korea and manage 4 Phase I Clinical Pharmacology Units, 3 Bioanalytical Labs (Small molecule and Large Molecule laboratories) and a Central Laboratory. </w:t>
      </w:r>
    </w:p>
    <w:p w14:paraId="7872BDFC" w14:textId="77777777" w:rsidR="00583D56" w:rsidRDefault="00583D56" w:rsidP="00583D56">
      <w:r>
        <w:rPr>
          <w:color w:val="000000"/>
          <w:sz w:val="22"/>
          <w:szCs w:val="22"/>
        </w:rPr>
        <w:t> </w:t>
      </w:r>
    </w:p>
    <w:p w14:paraId="64EF71EB" w14:textId="77777777" w:rsidR="00583D56" w:rsidRDefault="00583D56" w:rsidP="00583D56">
      <w:r>
        <w:rPr>
          <w:color w:val="000000"/>
          <w:sz w:val="22"/>
          <w:szCs w:val="22"/>
        </w:rPr>
        <w:t>PPC Group has supported more than 350 customers, performing over 500 Phase I-IV clinical trials and over 1500 generic drug bioequivalence studies. PPC Group is the first CRO in Asia</w:t>
      </w:r>
      <w:r>
        <w:rPr>
          <w:rStyle w:val="apple-converted-space"/>
          <w:color w:val="000000"/>
          <w:sz w:val="22"/>
          <w:szCs w:val="22"/>
        </w:rPr>
        <w:t> </w:t>
      </w:r>
      <w:r>
        <w:rPr>
          <w:color w:val="000000"/>
          <w:sz w:val="22"/>
          <w:szCs w:val="22"/>
        </w:rPr>
        <w:t>who has undergone inspections from</w:t>
      </w:r>
      <w:r>
        <w:rPr>
          <w:rStyle w:val="apple-converted-space"/>
          <w:color w:val="000000"/>
          <w:sz w:val="22"/>
          <w:szCs w:val="22"/>
        </w:rPr>
        <w:t> </w:t>
      </w:r>
      <w:r>
        <w:rPr>
          <w:color w:val="000000"/>
          <w:sz w:val="22"/>
          <w:szCs w:val="22"/>
        </w:rPr>
        <w:t xml:space="preserve">all major international regulatory agencies (US FDA, EU EMA, Japan’s </w:t>
      </w:r>
      <w:r>
        <w:rPr>
          <w:color w:val="000000"/>
          <w:sz w:val="22"/>
          <w:szCs w:val="22"/>
        </w:rPr>
        <w:lastRenderedPageBreak/>
        <w:t xml:space="preserve">PMDA and China’s NMPA), all resulting in the successful registration of the client’s products. We pride ourselves on understanding the unique set of challenges faced by emerging biopharma companies and are devoted to over-come their challenges and help them maximize their asset value at every stage. </w:t>
      </w:r>
    </w:p>
    <w:p w14:paraId="50F22A7F" w14:textId="77777777" w:rsidR="00583D56" w:rsidRDefault="00583D56" w:rsidP="00583D56">
      <w:r>
        <w:rPr>
          <w:sz w:val="22"/>
          <w:szCs w:val="22"/>
          <w:lang w:val="en-GB"/>
        </w:rPr>
        <w:t> </w:t>
      </w:r>
    </w:p>
    <w:p w14:paraId="59D126EC" w14:textId="17D50050" w:rsidR="006B594D" w:rsidRPr="00D83FE9" w:rsidRDefault="006B594D">
      <w:pPr>
        <w:rPr>
          <w:b/>
          <w:bCs/>
          <w:color w:val="000000" w:themeColor="text1"/>
          <w:sz w:val="22"/>
          <w:szCs w:val="22"/>
        </w:rPr>
      </w:pPr>
      <w:r w:rsidRPr="00D83FE9">
        <w:rPr>
          <w:b/>
          <w:bCs/>
          <w:color w:val="000000" w:themeColor="text1"/>
          <w:sz w:val="22"/>
          <w:szCs w:val="22"/>
        </w:rPr>
        <w:t xml:space="preserve">About TPG </w:t>
      </w:r>
    </w:p>
    <w:p w14:paraId="2F61C013" w14:textId="2C4A1067" w:rsidR="00D83FE9" w:rsidRDefault="00D83FE9">
      <w:pPr>
        <w:rPr>
          <w:rFonts w:ascii="Calibri" w:hAnsi="Calibri" w:cs="Calibri"/>
          <w:color w:val="000000" w:themeColor="text1"/>
          <w:sz w:val="22"/>
          <w:szCs w:val="22"/>
        </w:rPr>
      </w:pPr>
      <w:r w:rsidRPr="00D83FE9">
        <w:rPr>
          <w:rFonts w:ascii="Calibri" w:hAnsi="Calibri" w:cs="Calibri"/>
          <w:color w:val="000000" w:themeColor="text1"/>
          <w:sz w:val="22"/>
          <w:szCs w:val="22"/>
        </w:rPr>
        <w:t xml:space="preserve">TPG is a leading global alternative asset firm founded in 1992 with more than $111 billion of assets under management and offices in Austin, Beijing, Boston, Dallas, Fort Worth, Hong Kong, Houston, London, Luxembourg, Melbourne, Moscow, Mumbai, New York, San Francisco, Seoul, and Singapore. TPG's investment platforms are across a wide range of asset classes, including private equity, growth venture, real estate, credit, and public equity. TPG aims to build dynamic products and options for its investors while also instituting discipline and operational excellence across the investment strategy and performance of its portfolio. For more information, visit </w:t>
      </w:r>
      <w:hyperlink r:id="rId16" w:history="1">
        <w:r w:rsidRPr="00D83FE9">
          <w:rPr>
            <w:rStyle w:val="Hyperlink"/>
            <w:rFonts w:ascii="Calibri" w:hAnsi="Calibri" w:cs="Calibri"/>
            <w:sz w:val="22"/>
            <w:szCs w:val="22"/>
          </w:rPr>
          <w:t>www.tpg.com</w:t>
        </w:r>
      </w:hyperlink>
      <w:r w:rsidRPr="00CD7374">
        <w:rPr>
          <w:rFonts w:ascii="Calibri" w:hAnsi="Calibri" w:cs="Calibri"/>
          <w:color w:val="000000" w:themeColor="text1"/>
          <w:sz w:val="22"/>
          <w:szCs w:val="22"/>
        </w:rPr>
        <w:t>.</w:t>
      </w:r>
    </w:p>
    <w:p w14:paraId="26D86709" w14:textId="77777777" w:rsidR="00D83FE9" w:rsidRPr="00435628" w:rsidRDefault="00D83FE9" w:rsidP="00D83FE9">
      <w:pPr>
        <w:rPr>
          <w:rFonts w:ascii="Calibri" w:hAnsi="Calibri" w:cs="Calibri"/>
          <w:color w:val="000000" w:themeColor="text1"/>
          <w:sz w:val="22"/>
          <w:szCs w:val="22"/>
        </w:rPr>
      </w:pPr>
    </w:p>
    <w:p w14:paraId="6AF487E4" w14:textId="77777777" w:rsidR="006B594D" w:rsidRPr="006B594D" w:rsidRDefault="006B594D">
      <w:pPr>
        <w:rPr>
          <w:b/>
          <w:bCs/>
          <w:color w:val="000000" w:themeColor="text1"/>
          <w:sz w:val="22"/>
          <w:szCs w:val="22"/>
        </w:rPr>
      </w:pPr>
    </w:p>
    <w:sectPr w:rsidR="006B594D" w:rsidRPr="006B594D" w:rsidSect="00A84D49">
      <w:head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FD8E" w14:textId="77777777" w:rsidR="00B43B51" w:rsidRDefault="00B43B51" w:rsidP="009E5A47">
      <w:r>
        <w:separator/>
      </w:r>
    </w:p>
  </w:endnote>
  <w:endnote w:type="continuationSeparator" w:id="0">
    <w:p w14:paraId="2E5E78A6" w14:textId="77777777" w:rsidR="00B43B51" w:rsidRDefault="00B43B51" w:rsidP="009E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80B5" w14:textId="77777777" w:rsidR="00B43B51" w:rsidRDefault="00B43B51" w:rsidP="009E5A47">
      <w:r>
        <w:separator/>
      </w:r>
    </w:p>
  </w:footnote>
  <w:footnote w:type="continuationSeparator" w:id="0">
    <w:p w14:paraId="59A12108" w14:textId="77777777" w:rsidR="00B43B51" w:rsidRDefault="00B43B51" w:rsidP="009E5A47">
      <w:r>
        <w:continuationSeparator/>
      </w:r>
    </w:p>
  </w:footnote>
  <w:footnote w:id="1">
    <w:p w14:paraId="6DF446DA" w14:textId="2762EC1F" w:rsidR="00FC54A2" w:rsidRPr="008E524C" w:rsidRDefault="00FC54A2">
      <w:pPr>
        <w:pStyle w:val="FootnoteText"/>
        <w:rPr>
          <w:lang w:val="en-US"/>
        </w:rPr>
      </w:pPr>
      <w:r>
        <w:rPr>
          <w:rStyle w:val="FootnoteReference"/>
        </w:rPr>
        <w:footnoteRef/>
      </w:r>
      <w:r>
        <w:t xml:space="preserve"> </w:t>
      </w:r>
      <w:proofErr w:type="spellStart"/>
      <w:proofErr w:type="gramStart"/>
      <w:r w:rsidRPr="00B46F8E">
        <w:rPr>
          <w:rFonts w:ascii="Calibri" w:hAnsi="Calibri" w:cs="Calibri"/>
          <w:color w:val="000000" w:themeColor="text1"/>
          <w:sz w:val="22"/>
          <w:szCs w:val="22"/>
        </w:rPr>
        <w:t>Source:GlobalData</w:t>
      </w:r>
      <w:proofErr w:type="spellEnd"/>
      <w:proofErr w:type="gramEnd"/>
      <w:r w:rsidRPr="00B46F8E">
        <w:rPr>
          <w:rFonts w:ascii="Calibri" w:hAnsi="Calibri" w:cs="Calibri"/>
          <w:color w:val="000000" w:themeColor="text1"/>
          <w:sz w:val="22"/>
          <w:szCs w:val="22"/>
        </w:rPr>
        <w:t>/</w:t>
      </w:r>
      <w:proofErr w:type="spellStart"/>
      <w:r w:rsidRPr="00B46F8E">
        <w:rPr>
          <w:rFonts w:ascii="Calibri" w:hAnsi="Calibri" w:cs="Calibri"/>
          <w:color w:val="000000" w:themeColor="text1"/>
          <w:sz w:val="22"/>
          <w:szCs w:val="22"/>
        </w:rPr>
        <w:t>Novotech</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7BC1" w14:textId="67292BFD" w:rsidR="00FC54A2" w:rsidRDefault="00E90B80" w:rsidP="00E90B80">
    <w:pPr>
      <w:pStyle w:val="Header"/>
      <w:jc w:val="center"/>
      <w:rPr>
        <w:noProof/>
      </w:rPr>
    </w:pPr>
    <w:r>
      <w:rPr>
        <w:noProof/>
      </w:rPr>
      <w:t xml:space="preserve">               </w:t>
    </w:r>
  </w:p>
  <w:p w14:paraId="3CDC7F37" w14:textId="77777777" w:rsidR="00E90B80" w:rsidRPr="00E90B80" w:rsidRDefault="00E90B80" w:rsidP="00E90B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F81" w14:textId="33A7FF82" w:rsidR="00A84D49" w:rsidRDefault="00A84D49" w:rsidP="00A84D49">
    <w:pPr>
      <w:pStyle w:val="Header"/>
      <w:jc w:val="center"/>
    </w:pPr>
    <w:r>
      <w:rPr>
        <w:noProof/>
      </w:rPr>
      <w:drawing>
        <wp:inline distT="0" distB="0" distL="0" distR="0" wp14:anchorId="1DD0FC00" wp14:editId="75605CEB">
          <wp:extent cx="1638300" cy="688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84" cy="692908"/>
                  </a:xfrm>
                  <a:prstGeom prst="rect">
                    <a:avLst/>
                  </a:prstGeom>
                  <a:noFill/>
                  <a:ln>
                    <a:noFill/>
                  </a:ln>
                </pic:spPr>
              </pic:pic>
            </a:graphicData>
          </a:graphic>
        </wp:inline>
      </w:drawing>
    </w:r>
    <w:r>
      <w:rPr>
        <w:noProof/>
      </w:rPr>
      <w:t xml:space="preserve">               </w:t>
    </w:r>
    <w:r w:rsidRPr="0018146B">
      <w:rPr>
        <w:noProof/>
      </w:rPr>
      <w:drawing>
        <wp:inline distT="0" distB="0" distL="0" distR="0" wp14:anchorId="01A94562" wp14:editId="55D7664A">
          <wp:extent cx="1771650"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5C61"/>
    <w:multiLevelType w:val="hybridMultilevel"/>
    <w:tmpl w:val="38D25E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28"/>
    <w:rsid w:val="00012819"/>
    <w:rsid w:val="000221BB"/>
    <w:rsid w:val="000263B1"/>
    <w:rsid w:val="00046204"/>
    <w:rsid w:val="000545BC"/>
    <w:rsid w:val="00075073"/>
    <w:rsid w:val="00091B4F"/>
    <w:rsid w:val="0009281E"/>
    <w:rsid w:val="000B3538"/>
    <w:rsid w:val="000B3A6D"/>
    <w:rsid w:val="000E1E90"/>
    <w:rsid w:val="000E23EF"/>
    <w:rsid w:val="00103E5E"/>
    <w:rsid w:val="00122187"/>
    <w:rsid w:val="001400BC"/>
    <w:rsid w:val="00144A24"/>
    <w:rsid w:val="00150C39"/>
    <w:rsid w:val="0017210B"/>
    <w:rsid w:val="0018543F"/>
    <w:rsid w:val="00187CF1"/>
    <w:rsid w:val="001B01FB"/>
    <w:rsid w:val="00204F59"/>
    <w:rsid w:val="00234798"/>
    <w:rsid w:val="00284B27"/>
    <w:rsid w:val="002925B6"/>
    <w:rsid w:val="002971E5"/>
    <w:rsid w:val="002A110D"/>
    <w:rsid w:val="002A4635"/>
    <w:rsid w:val="002C23B7"/>
    <w:rsid w:val="002E55BF"/>
    <w:rsid w:val="002F0534"/>
    <w:rsid w:val="002F3235"/>
    <w:rsid w:val="00306424"/>
    <w:rsid w:val="00307CFB"/>
    <w:rsid w:val="00320187"/>
    <w:rsid w:val="00320C53"/>
    <w:rsid w:val="003737D8"/>
    <w:rsid w:val="003802EA"/>
    <w:rsid w:val="00383F79"/>
    <w:rsid w:val="003C5A07"/>
    <w:rsid w:val="003D114D"/>
    <w:rsid w:val="003D1463"/>
    <w:rsid w:val="003F2C34"/>
    <w:rsid w:val="00412CA4"/>
    <w:rsid w:val="00420D72"/>
    <w:rsid w:val="00430273"/>
    <w:rsid w:val="00433836"/>
    <w:rsid w:val="00435628"/>
    <w:rsid w:val="00445744"/>
    <w:rsid w:val="004656FD"/>
    <w:rsid w:val="004728FD"/>
    <w:rsid w:val="004830B4"/>
    <w:rsid w:val="00490422"/>
    <w:rsid w:val="004F2E49"/>
    <w:rsid w:val="00510459"/>
    <w:rsid w:val="00515330"/>
    <w:rsid w:val="00521499"/>
    <w:rsid w:val="005254E5"/>
    <w:rsid w:val="005273B2"/>
    <w:rsid w:val="00532AD2"/>
    <w:rsid w:val="0053471C"/>
    <w:rsid w:val="0054610A"/>
    <w:rsid w:val="005528BB"/>
    <w:rsid w:val="005574D9"/>
    <w:rsid w:val="00572889"/>
    <w:rsid w:val="00583D56"/>
    <w:rsid w:val="00595C5E"/>
    <w:rsid w:val="005C0260"/>
    <w:rsid w:val="005D45EC"/>
    <w:rsid w:val="005D7C43"/>
    <w:rsid w:val="00607CAC"/>
    <w:rsid w:val="006547E4"/>
    <w:rsid w:val="006658DD"/>
    <w:rsid w:val="006A1C96"/>
    <w:rsid w:val="006B594D"/>
    <w:rsid w:val="006B7EF5"/>
    <w:rsid w:val="00704793"/>
    <w:rsid w:val="00712899"/>
    <w:rsid w:val="00735C8D"/>
    <w:rsid w:val="007520DD"/>
    <w:rsid w:val="0076032F"/>
    <w:rsid w:val="00785F10"/>
    <w:rsid w:val="0078717F"/>
    <w:rsid w:val="007A1695"/>
    <w:rsid w:val="007A6F93"/>
    <w:rsid w:val="007B53DC"/>
    <w:rsid w:val="007C227F"/>
    <w:rsid w:val="007C273C"/>
    <w:rsid w:val="007E005F"/>
    <w:rsid w:val="007E0AE0"/>
    <w:rsid w:val="007E664D"/>
    <w:rsid w:val="00800BE1"/>
    <w:rsid w:val="00837942"/>
    <w:rsid w:val="00840437"/>
    <w:rsid w:val="00845D50"/>
    <w:rsid w:val="0087568B"/>
    <w:rsid w:val="0088605F"/>
    <w:rsid w:val="008A3FB5"/>
    <w:rsid w:val="008B53C0"/>
    <w:rsid w:val="008E524C"/>
    <w:rsid w:val="008E769B"/>
    <w:rsid w:val="008E7F90"/>
    <w:rsid w:val="00900B9C"/>
    <w:rsid w:val="00906676"/>
    <w:rsid w:val="00907751"/>
    <w:rsid w:val="00907DDB"/>
    <w:rsid w:val="00922E0D"/>
    <w:rsid w:val="0095718E"/>
    <w:rsid w:val="00973530"/>
    <w:rsid w:val="00986B12"/>
    <w:rsid w:val="009938D6"/>
    <w:rsid w:val="009A672B"/>
    <w:rsid w:val="009C1888"/>
    <w:rsid w:val="009E5A47"/>
    <w:rsid w:val="009E70E9"/>
    <w:rsid w:val="00A156D5"/>
    <w:rsid w:val="00A217E5"/>
    <w:rsid w:val="00A30981"/>
    <w:rsid w:val="00A6620A"/>
    <w:rsid w:val="00A71132"/>
    <w:rsid w:val="00A71320"/>
    <w:rsid w:val="00A76F2C"/>
    <w:rsid w:val="00A81C62"/>
    <w:rsid w:val="00A82481"/>
    <w:rsid w:val="00A84D49"/>
    <w:rsid w:val="00AA3A8F"/>
    <w:rsid w:val="00AB768E"/>
    <w:rsid w:val="00AE0406"/>
    <w:rsid w:val="00AE196A"/>
    <w:rsid w:val="00AE6688"/>
    <w:rsid w:val="00B02BFA"/>
    <w:rsid w:val="00B07593"/>
    <w:rsid w:val="00B34EDA"/>
    <w:rsid w:val="00B43B51"/>
    <w:rsid w:val="00B46F41"/>
    <w:rsid w:val="00B46F8E"/>
    <w:rsid w:val="00B52E97"/>
    <w:rsid w:val="00B608DC"/>
    <w:rsid w:val="00B61402"/>
    <w:rsid w:val="00B7682F"/>
    <w:rsid w:val="00B873F4"/>
    <w:rsid w:val="00B93F67"/>
    <w:rsid w:val="00BC06D1"/>
    <w:rsid w:val="00BC15A9"/>
    <w:rsid w:val="00BC4809"/>
    <w:rsid w:val="00BD54AA"/>
    <w:rsid w:val="00BD76DD"/>
    <w:rsid w:val="00BF5628"/>
    <w:rsid w:val="00C01B6C"/>
    <w:rsid w:val="00C02498"/>
    <w:rsid w:val="00C1259B"/>
    <w:rsid w:val="00C233B6"/>
    <w:rsid w:val="00C244FC"/>
    <w:rsid w:val="00C6785E"/>
    <w:rsid w:val="00C730F6"/>
    <w:rsid w:val="00C74DFF"/>
    <w:rsid w:val="00CD064F"/>
    <w:rsid w:val="00CD7374"/>
    <w:rsid w:val="00CE34A6"/>
    <w:rsid w:val="00CF57C5"/>
    <w:rsid w:val="00D04EBB"/>
    <w:rsid w:val="00D11E5F"/>
    <w:rsid w:val="00D1682F"/>
    <w:rsid w:val="00D17F54"/>
    <w:rsid w:val="00D43101"/>
    <w:rsid w:val="00D50C7E"/>
    <w:rsid w:val="00D6491A"/>
    <w:rsid w:val="00D737BF"/>
    <w:rsid w:val="00D81D3D"/>
    <w:rsid w:val="00D83915"/>
    <w:rsid w:val="00D83FE9"/>
    <w:rsid w:val="00D90A88"/>
    <w:rsid w:val="00D930DF"/>
    <w:rsid w:val="00D958E4"/>
    <w:rsid w:val="00DB7BBC"/>
    <w:rsid w:val="00DF25FE"/>
    <w:rsid w:val="00E1097F"/>
    <w:rsid w:val="00E142FB"/>
    <w:rsid w:val="00E4796A"/>
    <w:rsid w:val="00E90B80"/>
    <w:rsid w:val="00E916EE"/>
    <w:rsid w:val="00E958B6"/>
    <w:rsid w:val="00E96CE4"/>
    <w:rsid w:val="00E971DF"/>
    <w:rsid w:val="00EA350B"/>
    <w:rsid w:val="00ED7A9F"/>
    <w:rsid w:val="00EE179D"/>
    <w:rsid w:val="00EE2FD3"/>
    <w:rsid w:val="00EE6EBD"/>
    <w:rsid w:val="00EF43D1"/>
    <w:rsid w:val="00EF7756"/>
    <w:rsid w:val="00F07632"/>
    <w:rsid w:val="00F27CEA"/>
    <w:rsid w:val="00F633AA"/>
    <w:rsid w:val="00F63FAD"/>
    <w:rsid w:val="00F779A2"/>
    <w:rsid w:val="00F96828"/>
    <w:rsid w:val="00FC2E4B"/>
    <w:rsid w:val="00FC54A2"/>
    <w:rsid w:val="00FD3DFA"/>
    <w:rsid w:val="00FD77C9"/>
    <w:rsid w:val="00FE3B60"/>
    <w:rsid w:val="00FE62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1CCF"/>
  <w15:chartTrackingRefBased/>
  <w15:docId w15:val="{9D56FBC9-B1ED-E540-A59D-5ADE0507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5628"/>
    <w:pPr>
      <w:ind w:left="720"/>
      <w:contextualSpacing/>
    </w:pPr>
    <w:rPr>
      <w:rFonts w:ascii="Times New Roman" w:eastAsia="Times New Roman" w:hAnsi="Times New Roman" w:cs="Times New Roman"/>
      <w:lang w:val="en-GB"/>
    </w:rPr>
  </w:style>
  <w:style w:type="character" w:customStyle="1" w:styleId="ListParagraphChar">
    <w:name w:val="List Paragraph Char"/>
    <w:basedOn w:val="DefaultParagraphFont"/>
    <w:link w:val="ListParagraph"/>
    <w:uiPriority w:val="34"/>
    <w:locked/>
    <w:rsid w:val="00435628"/>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0545BC"/>
    <w:rPr>
      <w:sz w:val="16"/>
      <w:szCs w:val="16"/>
    </w:rPr>
  </w:style>
  <w:style w:type="paragraph" w:styleId="CommentText">
    <w:name w:val="annotation text"/>
    <w:basedOn w:val="Normal"/>
    <w:link w:val="CommentTextChar"/>
    <w:uiPriority w:val="99"/>
    <w:semiHidden/>
    <w:unhideWhenUsed/>
    <w:rsid w:val="000545BC"/>
    <w:rPr>
      <w:sz w:val="20"/>
      <w:szCs w:val="20"/>
    </w:rPr>
  </w:style>
  <w:style w:type="character" w:customStyle="1" w:styleId="CommentTextChar">
    <w:name w:val="Comment Text Char"/>
    <w:basedOn w:val="DefaultParagraphFont"/>
    <w:link w:val="CommentText"/>
    <w:uiPriority w:val="99"/>
    <w:semiHidden/>
    <w:rsid w:val="000545BC"/>
    <w:rPr>
      <w:sz w:val="20"/>
      <w:szCs w:val="20"/>
    </w:rPr>
  </w:style>
  <w:style w:type="paragraph" w:styleId="CommentSubject">
    <w:name w:val="annotation subject"/>
    <w:basedOn w:val="CommentText"/>
    <w:next w:val="CommentText"/>
    <w:link w:val="CommentSubjectChar"/>
    <w:uiPriority w:val="99"/>
    <w:semiHidden/>
    <w:unhideWhenUsed/>
    <w:rsid w:val="000545BC"/>
    <w:rPr>
      <w:b/>
      <w:bCs/>
    </w:rPr>
  </w:style>
  <w:style w:type="character" w:customStyle="1" w:styleId="CommentSubjectChar">
    <w:name w:val="Comment Subject Char"/>
    <w:basedOn w:val="CommentTextChar"/>
    <w:link w:val="CommentSubject"/>
    <w:uiPriority w:val="99"/>
    <w:semiHidden/>
    <w:rsid w:val="000545BC"/>
    <w:rPr>
      <w:b/>
      <w:bCs/>
      <w:sz w:val="20"/>
      <w:szCs w:val="20"/>
    </w:rPr>
  </w:style>
  <w:style w:type="paragraph" w:styleId="BalloonText">
    <w:name w:val="Balloon Text"/>
    <w:basedOn w:val="Normal"/>
    <w:link w:val="BalloonTextChar"/>
    <w:uiPriority w:val="99"/>
    <w:semiHidden/>
    <w:unhideWhenUsed/>
    <w:rsid w:val="000545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5BC"/>
    <w:rPr>
      <w:rFonts w:ascii="Times New Roman" w:hAnsi="Times New Roman" w:cs="Times New Roman"/>
      <w:sz w:val="18"/>
      <w:szCs w:val="18"/>
    </w:rPr>
  </w:style>
  <w:style w:type="paragraph" w:styleId="NormalWeb">
    <w:name w:val="Normal (Web)"/>
    <w:basedOn w:val="Normal"/>
    <w:uiPriority w:val="99"/>
    <w:semiHidden/>
    <w:unhideWhenUsed/>
    <w:rsid w:val="00FD3DF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3DFA"/>
  </w:style>
  <w:style w:type="character" w:styleId="Hyperlink">
    <w:name w:val="Hyperlink"/>
    <w:basedOn w:val="DefaultParagraphFont"/>
    <w:uiPriority w:val="99"/>
    <w:unhideWhenUsed/>
    <w:rsid w:val="00FD3DFA"/>
    <w:rPr>
      <w:color w:val="0000FF"/>
      <w:u w:val="single"/>
    </w:rPr>
  </w:style>
  <w:style w:type="paragraph" w:styleId="Header">
    <w:name w:val="header"/>
    <w:basedOn w:val="Normal"/>
    <w:link w:val="HeaderChar"/>
    <w:uiPriority w:val="99"/>
    <w:unhideWhenUsed/>
    <w:rsid w:val="009E5A47"/>
    <w:pPr>
      <w:tabs>
        <w:tab w:val="center" w:pos="4680"/>
        <w:tab w:val="right" w:pos="9360"/>
      </w:tabs>
    </w:pPr>
  </w:style>
  <w:style w:type="character" w:customStyle="1" w:styleId="HeaderChar">
    <w:name w:val="Header Char"/>
    <w:basedOn w:val="DefaultParagraphFont"/>
    <w:link w:val="Header"/>
    <w:uiPriority w:val="99"/>
    <w:rsid w:val="009E5A47"/>
  </w:style>
  <w:style w:type="paragraph" w:styleId="Footer">
    <w:name w:val="footer"/>
    <w:basedOn w:val="Normal"/>
    <w:link w:val="FooterChar"/>
    <w:uiPriority w:val="99"/>
    <w:unhideWhenUsed/>
    <w:rsid w:val="009E5A47"/>
    <w:pPr>
      <w:tabs>
        <w:tab w:val="center" w:pos="4680"/>
        <w:tab w:val="right" w:pos="9360"/>
      </w:tabs>
    </w:pPr>
  </w:style>
  <w:style w:type="character" w:customStyle="1" w:styleId="FooterChar">
    <w:name w:val="Footer Char"/>
    <w:basedOn w:val="DefaultParagraphFont"/>
    <w:link w:val="Footer"/>
    <w:uiPriority w:val="99"/>
    <w:rsid w:val="009E5A47"/>
  </w:style>
  <w:style w:type="paragraph" w:styleId="Revision">
    <w:name w:val="Revision"/>
    <w:hidden/>
    <w:uiPriority w:val="99"/>
    <w:semiHidden/>
    <w:rsid w:val="0095718E"/>
  </w:style>
  <w:style w:type="character" w:styleId="Strong">
    <w:name w:val="Strong"/>
    <w:basedOn w:val="DefaultParagraphFont"/>
    <w:uiPriority w:val="22"/>
    <w:qFormat/>
    <w:rsid w:val="004728FD"/>
    <w:rPr>
      <w:b/>
      <w:bCs/>
    </w:rPr>
  </w:style>
  <w:style w:type="character" w:styleId="UnresolvedMention">
    <w:name w:val="Unresolved Mention"/>
    <w:basedOn w:val="DefaultParagraphFont"/>
    <w:uiPriority w:val="99"/>
    <w:rsid w:val="00D83FE9"/>
    <w:rPr>
      <w:color w:val="605E5C"/>
      <w:shd w:val="clear" w:color="auto" w:fill="E1DFDD"/>
    </w:rPr>
  </w:style>
  <w:style w:type="paragraph" w:styleId="FootnoteText">
    <w:name w:val="footnote text"/>
    <w:basedOn w:val="Normal"/>
    <w:link w:val="FootnoteTextChar"/>
    <w:uiPriority w:val="99"/>
    <w:semiHidden/>
    <w:unhideWhenUsed/>
    <w:rsid w:val="008E524C"/>
    <w:rPr>
      <w:sz w:val="20"/>
      <w:szCs w:val="20"/>
    </w:rPr>
  </w:style>
  <w:style w:type="character" w:customStyle="1" w:styleId="FootnoteTextChar">
    <w:name w:val="Footnote Text Char"/>
    <w:basedOn w:val="DefaultParagraphFont"/>
    <w:link w:val="FootnoteText"/>
    <w:uiPriority w:val="99"/>
    <w:semiHidden/>
    <w:rsid w:val="008E524C"/>
    <w:rPr>
      <w:sz w:val="20"/>
      <w:szCs w:val="20"/>
    </w:rPr>
  </w:style>
  <w:style w:type="character" w:styleId="FootnoteReference">
    <w:name w:val="footnote reference"/>
    <w:basedOn w:val="DefaultParagraphFont"/>
    <w:uiPriority w:val="99"/>
    <w:semiHidden/>
    <w:unhideWhenUsed/>
    <w:rsid w:val="008E5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0839">
      <w:bodyDiv w:val="1"/>
      <w:marLeft w:val="0"/>
      <w:marRight w:val="0"/>
      <w:marTop w:val="0"/>
      <w:marBottom w:val="0"/>
      <w:divBdr>
        <w:top w:val="none" w:sz="0" w:space="0" w:color="auto"/>
        <w:left w:val="none" w:sz="0" w:space="0" w:color="auto"/>
        <w:bottom w:val="none" w:sz="0" w:space="0" w:color="auto"/>
        <w:right w:val="none" w:sz="0" w:space="0" w:color="auto"/>
      </w:divBdr>
    </w:div>
    <w:div w:id="472601455">
      <w:bodyDiv w:val="1"/>
      <w:marLeft w:val="0"/>
      <w:marRight w:val="0"/>
      <w:marTop w:val="0"/>
      <w:marBottom w:val="0"/>
      <w:divBdr>
        <w:top w:val="none" w:sz="0" w:space="0" w:color="auto"/>
        <w:left w:val="none" w:sz="0" w:space="0" w:color="auto"/>
        <w:bottom w:val="none" w:sz="0" w:space="0" w:color="auto"/>
        <w:right w:val="none" w:sz="0" w:space="0" w:color="auto"/>
      </w:divBdr>
    </w:div>
    <w:div w:id="483591582">
      <w:bodyDiv w:val="1"/>
      <w:marLeft w:val="0"/>
      <w:marRight w:val="0"/>
      <w:marTop w:val="0"/>
      <w:marBottom w:val="0"/>
      <w:divBdr>
        <w:top w:val="none" w:sz="0" w:space="0" w:color="auto"/>
        <w:left w:val="none" w:sz="0" w:space="0" w:color="auto"/>
        <w:bottom w:val="none" w:sz="0" w:space="0" w:color="auto"/>
        <w:right w:val="none" w:sz="0" w:space="0" w:color="auto"/>
      </w:divBdr>
    </w:div>
    <w:div w:id="862788298">
      <w:bodyDiv w:val="1"/>
      <w:marLeft w:val="0"/>
      <w:marRight w:val="0"/>
      <w:marTop w:val="0"/>
      <w:marBottom w:val="0"/>
      <w:divBdr>
        <w:top w:val="none" w:sz="0" w:space="0" w:color="auto"/>
        <w:left w:val="none" w:sz="0" w:space="0" w:color="auto"/>
        <w:bottom w:val="none" w:sz="0" w:space="0" w:color="auto"/>
        <w:right w:val="none" w:sz="0" w:space="0" w:color="auto"/>
      </w:divBdr>
    </w:div>
    <w:div w:id="1055398116">
      <w:bodyDiv w:val="1"/>
      <w:marLeft w:val="0"/>
      <w:marRight w:val="0"/>
      <w:marTop w:val="0"/>
      <w:marBottom w:val="0"/>
      <w:divBdr>
        <w:top w:val="none" w:sz="0" w:space="0" w:color="auto"/>
        <w:left w:val="none" w:sz="0" w:space="0" w:color="auto"/>
        <w:bottom w:val="none" w:sz="0" w:space="0" w:color="auto"/>
        <w:right w:val="none" w:sz="0" w:space="0" w:color="auto"/>
      </w:divBdr>
    </w:div>
    <w:div w:id="14878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a.shen@ppccro.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ang@brunswick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p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novotech-cro.com" TargetMode="External"/><Relationship Id="rId5" Type="http://schemas.openxmlformats.org/officeDocument/2006/relationships/numbering" Target="numbering.xml"/><Relationship Id="rId15" Type="http://schemas.openxmlformats.org/officeDocument/2006/relationships/hyperlink" Target="https://ww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votech-cro.com/welcom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912445D87D44C85E9E80305A526DE" ma:contentTypeVersion="9" ma:contentTypeDescription="Create a new document." ma:contentTypeScope="" ma:versionID="47fb5d65e45000ee5bc96060b5208850">
  <xsd:schema xmlns:xsd="http://www.w3.org/2001/XMLSchema" xmlns:xs="http://www.w3.org/2001/XMLSchema" xmlns:p="http://schemas.microsoft.com/office/2006/metadata/properties" xmlns:ns3="1670fe9f-16d5-450d-b850-c3c41123e725" xmlns:ns4="eb2f632e-481f-43a5-9e9b-1fbad76139bb" targetNamespace="http://schemas.microsoft.com/office/2006/metadata/properties" ma:root="true" ma:fieldsID="0d5549fe253a1647be79cbba0abb3ced" ns3:_="" ns4:_="">
    <xsd:import namespace="1670fe9f-16d5-450d-b850-c3c41123e725"/>
    <xsd:import namespace="eb2f632e-481f-43a5-9e9b-1fbad76139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0fe9f-16d5-450d-b850-c3c41123e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f632e-481f-43a5-9e9b-1fbad76139b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CE7D-0E0E-42B1-A925-63AD9B39AEE1}">
  <ds:schemaRefs>
    <ds:schemaRef ds:uri="http://schemas.microsoft.com/sharepoint/v3/contenttype/forms"/>
  </ds:schemaRefs>
</ds:datastoreItem>
</file>

<file path=customXml/itemProps2.xml><?xml version="1.0" encoding="utf-8"?>
<ds:datastoreItem xmlns:ds="http://schemas.openxmlformats.org/officeDocument/2006/customXml" ds:itemID="{EC02B88B-5AF7-497C-A057-A9E10EB81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0fe9f-16d5-450d-b850-c3c41123e725"/>
    <ds:schemaRef ds:uri="eb2f632e-481f-43a5-9e9b-1fbad7613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2FC0A-36F5-41A7-BEF9-4F9FAAE8B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0B8C1-74EB-AA40-8B9B-8DF607C5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Rees | Cato &amp; Clegg</dc:creator>
  <cp:keywords/>
  <dc:description/>
  <cp:lastModifiedBy>Michael Stibilj</cp:lastModifiedBy>
  <cp:revision>5</cp:revision>
  <dcterms:created xsi:type="dcterms:W3CDTF">2019-12-02T23:14:00Z</dcterms:created>
  <dcterms:modified xsi:type="dcterms:W3CDTF">2019-12-16T08:09:00Z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0x010100D0F912445D87D44C85E9E80305A526DE</vt:lpwstr>
  </property>
</Properties>
</file>